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8026" w14:textId="72650CE5" w:rsidR="005B71DD" w:rsidRPr="0088279E" w:rsidRDefault="005B71DD" w:rsidP="005B71DD">
      <w:pPr>
        <w:rPr>
          <w:b/>
          <w:bCs/>
          <w:sz w:val="24"/>
          <w:szCs w:val="24"/>
        </w:rPr>
      </w:pPr>
      <w:bookmarkStart w:id="0" w:name="_Hlk194917593"/>
      <w:bookmarkStart w:id="1" w:name="_Hlk195516378"/>
      <w:r w:rsidRPr="0088279E">
        <w:rPr>
          <w:b/>
          <w:bCs/>
          <w:sz w:val="24"/>
          <w:szCs w:val="24"/>
        </w:rPr>
        <w:t xml:space="preserve">Health, Safety &amp; Wellbeing Reporting: </w:t>
      </w:r>
      <w:r w:rsidR="00BD1DC1">
        <w:rPr>
          <w:b/>
          <w:bCs/>
          <w:sz w:val="24"/>
          <w:szCs w:val="24"/>
        </w:rPr>
        <w:t>p</w:t>
      </w:r>
      <w:r w:rsidRPr="0088279E">
        <w:rPr>
          <w:b/>
          <w:bCs/>
          <w:sz w:val="24"/>
          <w:szCs w:val="24"/>
        </w:rPr>
        <w:t xml:space="preserve">rinciples and </w:t>
      </w:r>
      <w:r w:rsidR="00BD1DC1">
        <w:rPr>
          <w:b/>
          <w:bCs/>
          <w:sz w:val="24"/>
          <w:szCs w:val="24"/>
        </w:rPr>
        <w:t>k</w:t>
      </w:r>
      <w:r w:rsidRPr="0088279E">
        <w:rPr>
          <w:b/>
          <w:bCs/>
          <w:sz w:val="24"/>
          <w:szCs w:val="24"/>
        </w:rPr>
        <w:t xml:space="preserve">ey </w:t>
      </w:r>
      <w:r w:rsidR="00BD1DC1">
        <w:rPr>
          <w:b/>
          <w:bCs/>
          <w:sz w:val="24"/>
          <w:szCs w:val="24"/>
        </w:rPr>
        <w:t>c</w:t>
      </w:r>
      <w:r w:rsidRPr="0088279E">
        <w:rPr>
          <w:b/>
          <w:bCs/>
          <w:sz w:val="24"/>
          <w:szCs w:val="24"/>
        </w:rPr>
        <w:t>onsiderations</w:t>
      </w:r>
    </w:p>
    <w:p w14:paraId="34222F49" w14:textId="52CF9519" w:rsidR="00694162" w:rsidRPr="007E53A5" w:rsidRDefault="00694162" w:rsidP="005B71DD">
      <w:r w:rsidRPr="007E53A5">
        <w:t xml:space="preserve">This section is intended to set out the reporting needs for </w:t>
      </w:r>
      <w:r w:rsidR="005F0A37">
        <w:t>individuals</w:t>
      </w:r>
      <w:r w:rsidRPr="007E53A5">
        <w:t xml:space="preserve"> with a governance role and those with a senior or executive management </w:t>
      </w:r>
      <w:r w:rsidR="005F0A37">
        <w:t>role</w:t>
      </w:r>
      <w:r w:rsidRPr="007E53A5">
        <w:t xml:space="preserve">. </w:t>
      </w:r>
      <w:r w:rsidR="00C51517">
        <w:t>Managers and</w:t>
      </w:r>
      <w:r w:rsidR="002A52B9">
        <w:t xml:space="preserve"> technical experts who support officer</w:t>
      </w:r>
      <w:r w:rsidR="00776725">
        <w:t>s</w:t>
      </w:r>
      <w:r w:rsidR="002A52B9">
        <w:t xml:space="preserve"> and senior or executive management</w:t>
      </w:r>
      <w:r w:rsidR="005F0A37">
        <w:t xml:space="preserve"> </w:t>
      </w:r>
      <w:r w:rsidR="00C51517">
        <w:t>to meet</w:t>
      </w:r>
      <w:r w:rsidR="005F0A37">
        <w:t xml:space="preserve"> their duties</w:t>
      </w:r>
      <w:r w:rsidR="00776725">
        <w:t>, should have a clear understanding of how the organisations</w:t>
      </w:r>
      <w:r w:rsidR="00A153A7">
        <w:t>’</w:t>
      </w:r>
      <w:r w:rsidR="00776725">
        <w:t xml:space="preserve"> </w:t>
      </w:r>
      <w:r w:rsidR="005F0A37">
        <w:t xml:space="preserve">health and safety management </w:t>
      </w:r>
      <w:r w:rsidR="00776725">
        <w:t>systems meet these principles and considerations.</w:t>
      </w:r>
      <w:r w:rsidR="002A52B9">
        <w:t xml:space="preserve"> </w:t>
      </w:r>
      <w:r w:rsidRPr="007E53A5">
        <w:t xml:space="preserve"> </w:t>
      </w:r>
    </w:p>
    <w:p w14:paraId="10690125" w14:textId="60CD0413" w:rsidR="005B71DD" w:rsidRPr="0088279E" w:rsidRDefault="005B71DD" w:rsidP="005B71DD">
      <w:pPr>
        <w:rPr>
          <w:b/>
          <w:bCs/>
        </w:rPr>
      </w:pPr>
      <w:r w:rsidRPr="0088279E">
        <w:rPr>
          <w:b/>
          <w:bCs/>
        </w:rPr>
        <w:t>Key Outcome:</w:t>
      </w:r>
    </w:p>
    <w:p w14:paraId="399F4E8C" w14:textId="38CDEB2F" w:rsidR="00BB3142" w:rsidRDefault="005B71DD" w:rsidP="005B71DD">
      <w:r>
        <w:t>H</w:t>
      </w:r>
      <w:r w:rsidR="002C38E1">
        <w:t>ealth</w:t>
      </w:r>
      <w:r w:rsidR="00C51517">
        <w:t>,</w:t>
      </w:r>
      <w:r w:rsidR="002C38E1">
        <w:t xml:space="preserve"> safety &amp; wellbeing</w:t>
      </w:r>
      <w:r>
        <w:t xml:space="preserve"> </w:t>
      </w:r>
      <w:r w:rsidR="00C51517">
        <w:t xml:space="preserve">(HSW) </w:t>
      </w:r>
      <w:r>
        <w:t>reporting support</w:t>
      </w:r>
      <w:r w:rsidR="002C38E1">
        <w:t>s</w:t>
      </w:r>
      <w:r>
        <w:t xml:space="preserve"> open discussion, ensur</w:t>
      </w:r>
      <w:r w:rsidR="002C38E1">
        <w:t>es</w:t>
      </w:r>
      <w:r>
        <w:t xml:space="preserve"> risks and safety challenges are shared without limitation. </w:t>
      </w:r>
      <w:r w:rsidR="002C38E1">
        <w:t xml:space="preserve">The </w:t>
      </w:r>
      <w:r w:rsidR="00C51517">
        <w:t>HSW</w:t>
      </w:r>
      <w:r w:rsidR="002C38E1">
        <w:t xml:space="preserve"> </w:t>
      </w:r>
      <w:r>
        <w:t xml:space="preserve">system </w:t>
      </w:r>
      <w:r w:rsidR="00C51517">
        <w:t>requires</w:t>
      </w:r>
      <w:r>
        <w:t xml:space="preserve"> transparency, worker insights and learning </w:t>
      </w:r>
      <w:r w:rsidR="002C38E1">
        <w:t>as the</w:t>
      </w:r>
      <w:r>
        <w:t xml:space="preserve"> key</w:t>
      </w:r>
      <w:r w:rsidR="002C38E1">
        <w:t>s</w:t>
      </w:r>
      <w:r>
        <w:t xml:space="preserve"> to continu</w:t>
      </w:r>
      <w:r w:rsidR="00C51517">
        <w:t>ed and sustainable</w:t>
      </w:r>
      <w:r>
        <w:t xml:space="preserve"> improvement in </w:t>
      </w:r>
      <w:r w:rsidR="00C51517">
        <w:t>HSW</w:t>
      </w:r>
      <w:r>
        <w:t xml:space="preserve"> performance.</w:t>
      </w:r>
    </w:p>
    <w:p w14:paraId="5DCADB2C" w14:textId="4777F615" w:rsidR="005B71DD" w:rsidRDefault="005B71DD" w:rsidP="005B71DD">
      <w:r>
        <w:t>Under</w:t>
      </w:r>
      <w:r w:rsidR="00D7432B">
        <w:t xml:space="preserve"> the</w:t>
      </w:r>
      <w:r>
        <w:t xml:space="preserve"> </w:t>
      </w:r>
      <w:r w:rsidR="00D7432B">
        <w:t>Health and Safety at Work Act (HSWA) 2015</w:t>
      </w:r>
      <w:r>
        <w:t xml:space="preserve">, </w:t>
      </w:r>
      <w:r w:rsidR="00D7432B">
        <w:t>o</w:t>
      </w:r>
      <w:r>
        <w:t>fficers must</w:t>
      </w:r>
      <w:r w:rsidR="00BD34BF">
        <w:t xml:space="preserve"> exercise due diligence, which includes taking </w:t>
      </w:r>
      <w:r>
        <w:t>reasonable steps to:</w:t>
      </w:r>
    </w:p>
    <w:p w14:paraId="5CA8E022" w14:textId="7A80A9C9" w:rsidR="005B71DD" w:rsidRDefault="005B71DD" w:rsidP="005B71DD">
      <w:pPr>
        <w:pStyle w:val="ListParagraph"/>
        <w:numPr>
          <w:ilvl w:val="0"/>
          <w:numId w:val="6"/>
        </w:numPr>
      </w:pPr>
      <w:r>
        <w:t>Acquire and maintain knowledge of work health and safety matters.</w:t>
      </w:r>
    </w:p>
    <w:p w14:paraId="3BC933E1" w14:textId="0F3D5790" w:rsidR="005B71DD" w:rsidRDefault="005B71DD" w:rsidP="005B71DD">
      <w:pPr>
        <w:pStyle w:val="ListParagraph"/>
        <w:numPr>
          <w:ilvl w:val="0"/>
          <w:numId w:val="6"/>
        </w:numPr>
      </w:pPr>
      <w:r>
        <w:t>Understand the business operations and their associated risks.</w:t>
      </w:r>
    </w:p>
    <w:p w14:paraId="7AD408D5" w14:textId="242CC54D" w:rsidR="005B71DD" w:rsidRDefault="005B71DD" w:rsidP="005B71DD">
      <w:pPr>
        <w:pStyle w:val="ListParagraph"/>
        <w:numPr>
          <w:ilvl w:val="0"/>
          <w:numId w:val="6"/>
        </w:numPr>
      </w:pPr>
      <w:r>
        <w:t>Ensure appropriate resources and processes exist to manage risks.</w:t>
      </w:r>
    </w:p>
    <w:p w14:paraId="7DD96931" w14:textId="11875C7E" w:rsidR="005B71DD" w:rsidRDefault="00305787" w:rsidP="005B71DD">
      <w:pPr>
        <w:pStyle w:val="ListParagraph"/>
        <w:numPr>
          <w:ilvl w:val="0"/>
          <w:numId w:val="6"/>
        </w:numPr>
      </w:pPr>
      <w:r>
        <w:t>Monitor and respond to health and safety information effectively.</w:t>
      </w:r>
    </w:p>
    <w:p w14:paraId="7B009002" w14:textId="0CDA5FBF" w:rsidR="00305787" w:rsidRDefault="00305787" w:rsidP="005B71DD">
      <w:pPr>
        <w:pStyle w:val="ListParagraph"/>
        <w:numPr>
          <w:ilvl w:val="0"/>
          <w:numId w:val="6"/>
        </w:numPr>
      </w:pPr>
      <w:r>
        <w:t>Verify compliance with HSW duties.</w:t>
      </w:r>
    </w:p>
    <w:p w14:paraId="77AFC26F" w14:textId="38D41435" w:rsidR="00694162" w:rsidRPr="007E53A5" w:rsidRDefault="006611D2" w:rsidP="00305787">
      <w:r>
        <w:t>As key enablers of officer duties, t</w:t>
      </w:r>
      <w:r w:rsidR="00694162">
        <w:t xml:space="preserve">he </w:t>
      </w:r>
      <w:r w:rsidR="00663852">
        <w:t xml:space="preserve">same expectations </w:t>
      </w:r>
      <w:r w:rsidR="00C51517">
        <w:t>are</w:t>
      </w:r>
      <w:r>
        <w:t xml:space="preserve"> considered to </w:t>
      </w:r>
      <w:r w:rsidR="00663852">
        <w:t>apply to s</w:t>
      </w:r>
      <w:r w:rsidR="00694162">
        <w:t xml:space="preserve">enior or executive </w:t>
      </w:r>
      <w:r w:rsidR="00BE3CC3">
        <w:t>managers</w:t>
      </w:r>
      <w:r w:rsidR="00694162">
        <w:t xml:space="preserve"> with management responsibilities</w:t>
      </w:r>
      <w:r>
        <w:t xml:space="preserve"> </w:t>
      </w:r>
      <w:r w:rsidR="00C51517">
        <w:t>but who are not officers</w:t>
      </w:r>
      <w:r w:rsidR="00694162">
        <w:t xml:space="preserve">. </w:t>
      </w:r>
    </w:p>
    <w:p w14:paraId="40A2CF5C" w14:textId="1EA9EB2C" w:rsidR="00C01137" w:rsidRPr="00305787" w:rsidRDefault="00305787" w:rsidP="00305787">
      <w:pPr>
        <w:rPr>
          <w:i/>
          <w:iCs/>
        </w:rPr>
      </w:pPr>
      <w:r w:rsidRPr="00305787">
        <w:rPr>
          <w:i/>
          <w:iCs/>
        </w:rPr>
        <w:t xml:space="preserve">NOTE: </w:t>
      </w:r>
      <w:r w:rsidR="00783262">
        <w:rPr>
          <w:i/>
          <w:iCs/>
        </w:rPr>
        <w:t>This resource focuses on internal reporting and does not cover reporting prepared for external audiences</w:t>
      </w:r>
      <w:r w:rsidRPr="00305787">
        <w:rPr>
          <w:i/>
          <w:iCs/>
        </w:rPr>
        <w:t>.</w:t>
      </w:r>
    </w:p>
    <w:p w14:paraId="4E1C5565" w14:textId="77777777" w:rsidR="00C632D0" w:rsidRDefault="00C632D0" w:rsidP="00C632D0">
      <w:pPr>
        <w:rPr>
          <w:b/>
          <w:bCs/>
        </w:rPr>
      </w:pPr>
      <w:r>
        <w:rPr>
          <w:b/>
          <w:bCs/>
        </w:rPr>
        <w:t>Meeting Legal Duties Framework:</w:t>
      </w:r>
    </w:p>
    <w:p w14:paraId="421757F5" w14:textId="717F7189" w:rsidR="00DF6D9E" w:rsidRPr="00DF6D9E" w:rsidRDefault="00DF6D9E" w:rsidP="00DF6D9E">
      <w:r w:rsidRPr="00DF6D9E">
        <w:t>Whether you are an officer, a senior</w:t>
      </w:r>
      <w:r w:rsidR="00A127A5">
        <w:t xml:space="preserve"> or executive manager</w:t>
      </w:r>
      <w:r w:rsidRPr="00DF6D9E">
        <w:t>, or supporting those roles</w:t>
      </w:r>
      <w:r w:rsidR="00A127A5">
        <w:t xml:space="preserve"> as a manager or technical expert</w:t>
      </w:r>
      <w:r w:rsidRPr="00DF6D9E">
        <w:t>, meeting legal duties under HSWA 2015 requires deliberate and consistent action across five key areas:</w:t>
      </w:r>
    </w:p>
    <w:p w14:paraId="149623D4" w14:textId="043B8625" w:rsidR="00DF6D9E" w:rsidRPr="00DF6D9E" w:rsidRDefault="00DF6D9E" w:rsidP="00DF6D9E">
      <w:pPr>
        <w:numPr>
          <w:ilvl w:val="0"/>
          <w:numId w:val="34"/>
        </w:numPr>
      </w:pPr>
      <w:r w:rsidRPr="00DF6D9E">
        <w:rPr>
          <w:b/>
          <w:bCs/>
        </w:rPr>
        <w:t>Understanding the Work</w:t>
      </w:r>
      <w:r w:rsidR="00DB1991">
        <w:t xml:space="preserve"> – </w:t>
      </w:r>
      <w:r>
        <w:t>Deliberate activities</w:t>
      </w:r>
      <w:r w:rsidRPr="00DF6D9E">
        <w:t xml:space="preserve"> should</w:t>
      </w:r>
      <w:r>
        <w:t xml:space="preserve"> be used </w:t>
      </w:r>
      <w:r w:rsidR="00C51517">
        <w:t>to</w:t>
      </w:r>
      <w:r w:rsidRPr="00DF6D9E">
        <w:t xml:space="preserve"> build a clear picture of the organisation’s operations—what work is being done, where, by whom and under what conditions. This </w:t>
      </w:r>
      <w:r w:rsidR="00A127A5">
        <w:t>supports</w:t>
      </w:r>
      <w:r w:rsidRPr="00DF6D9E">
        <w:t xml:space="preserve"> informed decision-making.</w:t>
      </w:r>
    </w:p>
    <w:p w14:paraId="5EE93CFA" w14:textId="1B335B6C" w:rsidR="00DF6D9E" w:rsidRPr="00DF6D9E" w:rsidRDefault="00DF6D9E" w:rsidP="00DF6D9E">
      <w:pPr>
        <w:numPr>
          <w:ilvl w:val="0"/>
          <w:numId w:val="34"/>
        </w:numPr>
      </w:pPr>
      <w:r w:rsidRPr="00DF6D9E">
        <w:rPr>
          <w:b/>
          <w:bCs/>
        </w:rPr>
        <w:t>Accessing the Right Expertise</w:t>
      </w:r>
      <w:r w:rsidR="00DB1991">
        <w:t xml:space="preserve"> – </w:t>
      </w:r>
      <w:r w:rsidRPr="00DF6D9E">
        <w:t>Officers and senior</w:t>
      </w:r>
      <w:r w:rsidR="00A127A5">
        <w:t xml:space="preserve"> or executive managers</w:t>
      </w:r>
      <w:r w:rsidRPr="00DF6D9E">
        <w:t xml:space="preserve"> must </w:t>
      </w:r>
      <w:r w:rsidR="002C38E1">
        <w:t>know when and how to seek</w:t>
      </w:r>
      <w:r w:rsidRPr="00DF6D9E">
        <w:t xml:space="preserve"> technical advice</w:t>
      </w:r>
      <w:r>
        <w:t>,</w:t>
      </w:r>
      <w:r w:rsidRPr="00DF6D9E">
        <w:t xml:space="preserve"> </w:t>
      </w:r>
      <w:r>
        <w:t>including</w:t>
      </w:r>
      <w:r w:rsidRPr="00DF6D9E">
        <w:t xml:space="preserve"> legal guidance</w:t>
      </w:r>
      <w:r>
        <w:t>,</w:t>
      </w:r>
      <w:r w:rsidRPr="00DF6D9E">
        <w:t xml:space="preserve"> to understand their obligations. It’s important that steps taken to develop and maintain this understanding are documented.</w:t>
      </w:r>
      <w:r w:rsidR="002A52B9">
        <w:t xml:space="preserve"> </w:t>
      </w:r>
      <w:r w:rsidR="00F0698B">
        <w:t>It’s worth noting that m</w:t>
      </w:r>
      <w:r w:rsidR="002A52B9">
        <w:t>anagers and workers should also have access to technical advice and support.</w:t>
      </w:r>
    </w:p>
    <w:p w14:paraId="34D52F2B" w14:textId="4C9B614A" w:rsidR="00DF6D9E" w:rsidRPr="00DF6D9E" w:rsidRDefault="00DF6D9E" w:rsidP="00DF6D9E">
      <w:pPr>
        <w:numPr>
          <w:ilvl w:val="0"/>
          <w:numId w:val="34"/>
        </w:numPr>
        <w:spacing w:after="0"/>
      </w:pPr>
      <w:r w:rsidRPr="00DF6D9E">
        <w:rPr>
          <w:b/>
          <w:bCs/>
        </w:rPr>
        <w:t>Managing Hazards and Risks</w:t>
      </w:r>
      <w:r w:rsidR="00DB1991">
        <w:t xml:space="preserve"> – </w:t>
      </w:r>
      <w:r w:rsidRPr="00DF6D9E">
        <w:t>A key focus is ensuring there is a system to identify hazards, assess the level of risk and apply controls to manage those risks.</w:t>
      </w:r>
      <w:r w:rsidR="002A52B9">
        <w:t xml:space="preserve"> </w:t>
      </w:r>
      <w:r w:rsidRPr="00DF6D9E">
        <w:t>Risk assessments should distinguish between:</w:t>
      </w:r>
    </w:p>
    <w:p w14:paraId="717F511F" w14:textId="32CA43C9" w:rsidR="00DF6D9E" w:rsidRPr="00DF6D9E" w:rsidRDefault="00DF6D9E" w:rsidP="00DF6D9E">
      <w:pPr>
        <w:numPr>
          <w:ilvl w:val="1"/>
          <w:numId w:val="34"/>
        </w:numPr>
        <w:spacing w:after="0"/>
      </w:pPr>
      <w:r>
        <w:t>More frequent</w:t>
      </w:r>
      <w:r w:rsidRPr="00DF6D9E">
        <w:t xml:space="preserve">, lower-impact risks that workers and </w:t>
      </w:r>
      <w:r w:rsidR="00B3403F">
        <w:t>managers</w:t>
      </w:r>
      <w:r w:rsidRPr="00DF6D9E">
        <w:t xml:space="preserve"> are empowered to manage, and</w:t>
      </w:r>
    </w:p>
    <w:p w14:paraId="16A734FD" w14:textId="10E3AF8B" w:rsidR="00DF6D9E" w:rsidRPr="00DF6D9E" w:rsidRDefault="00DF6D9E" w:rsidP="00DF6D9E">
      <w:pPr>
        <w:numPr>
          <w:ilvl w:val="1"/>
          <w:numId w:val="34"/>
        </w:numPr>
      </w:pPr>
      <w:r w:rsidRPr="00DF6D9E">
        <w:t xml:space="preserve">Critical risks with the potential to cause serious injury, illness or fatality, which require robust oversight and active engagement from senior </w:t>
      </w:r>
      <w:r w:rsidR="00B3403F">
        <w:t>or executive managers</w:t>
      </w:r>
      <w:r w:rsidRPr="00DF6D9E">
        <w:t>.</w:t>
      </w:r>
    </w:p>
    <w:p w14:paraId="27A87FD0" w14:textId="03A4DF63" w:rsidR="00DF6D9E" w:rsidRPr="00DF6D9E" w:rsidRDefault="00DF6D9E" w:rsidP="00DF6D9E">
      <w:pPr>
        <w:numPr>
          <w:ilvl w:val="0"/>
          <w:numId w:val="34"/>
        </w:numPr>
      </w:pPr>
      <w:r w:rsidRPr="00DF6D9E">
        <w:rPr>
          <w:b/>
          <w:bCs/>
        </w:rPr>
        <w:lastRenderedPageBreak/>
        <w:t>Seeking Assuranc</w:t>
      </w:r>
      <w:r w:rsidR="00DB1991">
        <w:rPr>
          <w:b/>
          <w:bCs/>
        </w:rPr>
        <w:t xml:space="preserve">e </w:t>
      </w:r>
      <w:r w:rsidR="00DB1991" w:rsidRPr="00DB1991">
        <w:t>–</w:t>
      </w:r>
      <w:r w:rsidR="00DB1991">
        <w:rPr>
          <w:b/>
          <w:bCs/>
        </w:rPr>
        <w:t xml:space="preserve"> </w:t>
      </w:r>
      <w:r w:rsidRPr="00DF6D9E">
        <w:t xml:space="preserve">It’s not enough to have systems and controls in place; </w:t>
      </w:r>
      <w:r w:rsidR="00B3403F">
        <w:t>officers and senior or executive managers</w:t>
      </w:r>
      <w:r w:rsidRPr="00DF6D9E">
        <w:t xml:space="preserve"> must verify that they are implemented and functioning as intended. Assurance activities provide confidence that what is supposed to be happening is actually occurring.</w:t>
      </w:r>
    </w:p>
    <w:p w14:paraId="063C275B" w14:textId="7CE8BB40" w:rsidR="00DF6D9E" w:rsidRPr="00DF6D9E" w:rsidRDefault="00DF6D9E" w:rsidP="00DF6D9E">
      <w:pPr>
        <w:numPr>
          <w:ilvl w:val="0"/>
          <w:numId w:val="34"/>
        </w:numPr>
      </w:pPr>
      <w:r w:rsidRPr="00DF6D9E">
        <w:rPr>
          <w:b/>
          <w:bCs/>
        </w:rPr>
        <w:t>Reviewing and Improving</w:t>
      </w:r>
      <w:r w:rsidR="00DB1991">
        <w:t xml:space="preserve"> – Having a process to receive qualitative assessments of systems, incidents and </w:t>
      </w:r>
      <w:r w:rsidR="002C0E0D">
        <w:t xml:space="preserve">worker views with a commitment </w:t>
      </w:r>
      <w:r w:rsidR="00B3403F">
        <w:t>to</w:t>
      </w:r>
      <w:r w:rsidR="002C0E0D">
        <w:t xml:space="preserve"> </w:t>
      </w:r>
      <w:r w:rsidRPr="00DF6D9E">
        <w:t xml:space="preserve">ongoing evaluation and improvement. </w:t>
      </w:r>
    </w:p>
    <w:p w14:paraId="18FE6F9A" w14:textId="2A05F336" w:rsidR="00C632D0" w:rsidRPr="0088279E" w:rsidRDefault="00B3403F" w:rsidP="001706C6">
      <w:pPr>
        <w:rPr>
          <w:b/>
          <w:bCs/>
        </w:rPr>
      </w:pPr>
      <w:r>
        <w:rPr>
          <w:b/>
          <w:bCs/>
        </w:rPr>
        <w:t>The difference between</w:t>
      </w:r>
      <w:r w:rsidR="001706C6" w:rsidRPr="001706C6">
        <w:t xml:space="preserve"> </w:t>
      </w:r>
      <w:r w:rsidR="001706C6" w:rsidRPr="001706C6">
        <w:rPr>
          <w:b/>
          <w:bCs/>
        </w:rPr>
        <w:t xml:space="preserve">Governance </w:t>
      </w:r>
      <w:r>
        <w:rPr>
          <w:b/>
          <w:bCs/>
        </w:rPr>
        <w:t>and</w:t>
      </w:r>
      <w:r w:rsidR="001706C6" w:rsidRPr="001706C6">
        <w:rPr>
          <w:b/>
          <w:bCs/>
        </w:rPr>
        <w:t xml:space="preserve"> </w:t>
      </w:r>
      <w:r>
        <w:rPr>
          <w:b/>
          <w:bCs/>
        </w:rPr>
        <w:t xml:space="preserve">Senior or Executive </w:t>
      </w:r>
      <w:r w:rsidR="001706C6" w:rsidRPr="001706C6">
        <w:rPr>
          <w:b/>
          <w:bCs/>
        </w:rPr>
        <w:t>Management</w:t>
      </w:r>
      <w:r>
        <w:rPr>
          <w:b/>
          <w:bCs/>
        </w:rPr>
        <w:t xml:space="preserve"> functions</w:t>
      </w:r>
    </w:p>
    <w:p w14:paraId="32BB5113" w14:textId="254FBA29" w:rsidR="00CC1948" w:rsidRDefault="001706C6" w:rsidP="00CC1948">
      <w:r>
        <w:t>Before engaging with HS</w:t>
      </w:r>
      <w:r w:rsidR="00BE3CC3">
        <w:t>W</w:t>
      </w:r>
      <w:r>
        <w:t xml:space="preserve"> reports, consider the role you are playing:</w:t>
      </w:r>
    </w:p>
    <w:p w14:paraId="3C22463E" w14:textId="2E5237D3" w:rsidR="001706C6" w:rsidRDefault="001706C6" w:rsidP="001706C6">
      <w:pPr>
        <w:pStyle w:val="ListParagraph"/>
        <w:numPr>
          <w:ilvl w:val="0"/>
          <w:numId w:val="20"/>
        </w:numPr>
      </w:pPr>
      <w:r>
        <w:t>Are you acting in a Governance or Management capacity?</w:t>
      </w:r>
    </w:p>
    <w:p w14:paraId="1B301699" w14:textId="7FFA329C" w:rsidR="002A52B9" w:rsidRPr="002A52B9" w:rsidRDefault="001706C6" w:rsidP="002A52B9">
      <w:pPr>
        <w:pStyle w:val="ListParagraph"/>
        <w:numPr>
          <w:ilvl w:val="0"/>
          <w:numId w:val="20"/>
        </w:numPr>
      </w:pPr>
      <w:r>
        <w:t>What decisions need to be informed by the information?</w:t>
      </w:r>
    </w:p>
    <w:tbl>
      <w:tblPr>
        <w:tblW w:w="10632" w:type="dxa"/>
        <w:tblInd w:w="-436"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49"/>
        <w:gridCol w:w="4933"/>
        <w:gridCol w:w="4650"/>
      </w:tblGrid>
      <w:tr w:rsidR="00CC1948" w:rsidRPr="004476B7" w14:paraId="13BC4082" w14:textId="77777777" w:rsidTr="007B0C50">
        <w:tc>
          <w:tcPr>
            <w:tcW w:w="10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220477" w14:textId="77777777" w:rsidR="00CC1948" w:rsidRPr="004476B7" w:rsidRDefault="00CC1948" w:rsidP="00CC1948">
            <w:pPr>
              <w:rPr>
                <w:b/>
                <w:bCs/>
                <w:sz w:val="20"/>
                <w:szCs w:val="20"/>
              </w:rPr>
            </w:pPr>
            <w:r w:rsidRPr="004476B7">
              <w:rPr>
                <w:b/>
                <w:bCs/>
                <w:sz w:val="20"/>
                <w:szCs w:val="20"/>
              </w:rPr>
              <w:t>Feature</w:t>
            </w:r>
          </w:p>
        </w:tc>
        <w:tc>
          <w:tcPr>
            <w:tcW w:w="49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123CC5" w14:textId="77777777" w:rsidR="00CC1948" w:rsidRPr="004476B7" w:rsidRDefault="00CC1948" w:rsidP="00CC1948">
            <w:pPr>
              <w:rPr>
                <w:b/>
                <w:bCs/>
                <w:sz w:val="20"/>
                <w:szCs w:val="20"/>
              </w:rPr>
            </w:pPr>
            <w:r w:rsidRPr="004476B7">
              <w:rPr>
                <w:b/>
                <w:bCs/>
                <w:sz w:val="20"/>
                <w:szCs w:val="20"/>
              </w:rPr>
              <w:t>Governance (Oversight)</w:t>
            </w:r>
          </w:p>
        </w:tc>
        <w:tc>
          <w:tcPr>
            <w:tcW w:w="4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B22EDB" w14:textId="1598B02C" w:rsidR="00CC1948" w:rsidRPr="004476B7" w:rsidRDefault="006611D2" w:rsidP="00CC1948">
            <w:pPr>
              <w:rPr>
                <w:b/>
                <w:bCs/>
                <w:sz w:val="20"/>
                <w:szCs w:val="20"/>
              </w:rPr>
            </w:pPr>
            <w:r>
              <w:rPr>
                <w:b/>
                <w:bCs/>
                <w:sz w:val="20"/>
                <w:szCs w:val="20"/>
              </w:rPr>
              <w:t xml:space="preserve">Management </w:t>
            </w:r>
            <w:r w:rsidR="00CC1948" w:rsidRPr="004476B7">
              <w:rPr>
                <w:b/>
                <w:bCs/>
                <w:sz w:val="20"/>
                <w:szCs w:val="20"/>
              </w:rPr>
              <w:t>(</w:t>
            </w:r>
            <w:r w:rsidR="00414A7E">
              <w:rPr>
                <w:b/>
                <w:bCs/>
                <w:sz w:val="20"/>
                <w:szCs w:val="20"/>
              </w:rPr>
              <w:t xml:space="preserve">Enterprise </w:t>
            </w:r>
            <w:r w:rsidR="00194E0A">
              <w:rPr>
                <w:b/>
                <w:bCs/>
                <w:sz w:val="20"/>
                <w:szCs w:val="20"/>
              </w:rPr>
              <w:t xml:space="preserve">and Business Unit Level </w:t>
            </w:r>
            <w:r w:rsidR="00CC1948" w:rsidRPr="004476B7">
              <w:rPr>
                <w:b/>
                <w:bCs/>
                <w:sz w:val="20"/>
                <w:szCs w:val="20"/>
              </w:rPr>
              <w:t>Operations)</w:t>
            </w:r>
          </w:p>
        </w:tc>
      </w:tr>
      <w:tr w:rsidR="007B0C50" w:rsidRPr="004476B7" w14:paraId="66078331" w14:textId="77777777" w:rsidTr="007B0C50">
        <w:tc>
          <w:tcPr>
            <w:tcW w:w="10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86B64A" w14:textId="134FCD33" w:rsidR="007B0C50" w:rsidRPr="004476B7" w:rsidRDefault="007B0C50" w:rsidP="007B0C50">
            <w:pPr>
              <w:rPr>
                <w:sz w:val="20"/>
                <w:szCs w:val="20"/>
              </w:rPr>
            </w:pPr>
            <w:r w:rsidRPr="004476B7">
              <w:rPr>
                <w:sz w:val="20"/>
                <w:szCs w:val="20"/>
              </w:rPr>
              <w:t>Focus        </w:t>
            </w:r>
          </w:p>
        </w:tc>
        <w:tc>
          <w:tcPr>
            <w:tcW w:w="49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0C03DC" w14:textId="3812A937" w:rsidR="007B0C50" w:rsidRPr="004476B7" w:rsidRDefault="007B0C50" w:rsidP="007B0C50">
            <w:pPr>
              <w:rPr>
                <w:sz w:val="20"/>
                <w:szCs w:val="20"/>
              </w:rPr>
            </w:pPr>
            <w:r>
              <w:rPr>
                <w:sz w:val="20"/>
                <w:szCs w:val="20"/>
              </w:rPr>
              <w:t xml:space="preserve">Provide the strategy and vision for the organisation. </w:t>
            </w:r>
            <w:r w:rsidR="00B3403F" w:rsidRPr="004476B7">
              <w:rPr>
                <w:sz w:val="20"/>
                <w:szCs w:val="20"/>
              </w:rPr>
              <w:t>Identifying risks and opportunities that could impact the organisation over time.</w:t>
            </w:r>
            <w:r w:rsidR="00B3403F">
              <w:rPr>
                <w:sz w:val="20"/>
                <w:szCs w:val="20"/>
              </w:rPr>
              <w:t xml:space="preserve"> </w:t>
            </w:r>
            <w:r>
              <w:rPr>
                <w:sz w:val="20"/>
                <w:szCs w:val="20"/>
              </w:rPr>
              <w:t>Assure</w:t>
            </w:r>
            <w:r w:rsidRPr="004476B7">
              <w:rPr>
                <w:sz w:val="20"/>
                <w:szCs w:val="20"/>
              </w:rPr>
              <w:t xml:space="preserve"> the organisation has the right</w:t>
            </w:r>
            <w:r>
              <w:rPr>
                <w:sz w:val="20"/>
                <w:szCs w:val="20"/>
              </w:rPr>
              <w:t xml:space="preserve">, </w:t>
            </w:r>
            <w:r w:rsidRPr="004476B7">
              <w:rPr>
                <w:sz w:val="20"/>
                <w:szCs w:val="20"/>
              </w:rPr>
              <w:t xml:space="preserve">structures, policies and systems in place </w:t>
            </w:r>
            <w:r>
              <w:rPr>
                <w:sz w:val="20"/>
                <w:szCs w:val="20"/>
              </w:rPr>
              <w:t>for</w:t>
            </w:r>
            <w:r w:rsidRPr="004476B7">
              <w:rPr>
                <w:sz w:val="20"/>
                <w:szCs w:val="20"/>
              </w:rPr>
              <w:t xml:space="preserve"> </w:t>
            </w:r>
            <w:r w:rsidR="00284876">
              <w:rPr>
                <w:sz w:val="20"/>
                <w:szCs w:val="20"/>
              </w:rPr>
              <w:t>HSW</w:t>
            </w:r>
            <w:r>
              <w:rPr>
                <w:sz w:val="20"/>
                <w:szCs w:val="20"/>
              </w:rPr>
              <w:t xml:space="preserve"> performance</w:t>
            </w:r>
            <w:r w:rsidRPr="004476B7">
              <w:rPr>
                <w:sz w:val="20"/>
                <w:szCs w:val="20"/>
              </w:rPr>
              <w:t xml:space="preserve">. </w:t>
            </w:r>
            <w:r w:rsidR="00284876">
              <w:rPr>
                <w:sz w:val="20"/>
                <w:szCs w:val="20"/>
              </w:rPr>
              <w:t>Assure controls are identified, implemented and effective.</w:t>
            </w:r>
          </w:p>
        </w:tc>
        <w:tc>
          <w:tcPr>
            <w:tcW w:w="4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FCDF19" w14:textId="2498C2F3" w:rsidR="007B0C50" w:rsidRPr="004476B7" w:rsidRDefault="007B0C50" w:rsidP="007B0C50">
            <w:pPr>
              <w:rPr>
                <w:sz w:val="20"/>
                <w:szCs w:val="20"/>
              </w:rPr>
            </w:pPr>
            <w:bookmarkStart w:id="2" w:name="_Hlk195192500"/>
            <w:r w:rsidRPr="004476B7">
              <w:rPr>
                <w:sz w:val="20"/>
                <w:szCs w:val="20"/>
              </w:rPr>
              <w:t xml:space="preserve">Ensuring </w:t>
            </w:r>
            <w:r>
              <w:rPr>
                <w:sz w:val="20"/>
                <w:szCs w:val="20"/>
              </w:rPr>
              <w:t xml:space="preserve">the strategy is implemented, </w:t>
            </w:r>
            <w:r w:rsidRPr="004476B7">
              <w:rPr>
                <w:sz w:val="20"/>
                <w:szCs w:val="20"/>
              </w:rPr>
              <w:t xml:space="preserve">that </w:t>
            </w:r>
            <w:r w:rsidR="00284876">
              <w:rPr>
                <w:sz w:val="20"/>
                <w:szCs w:val="20"/>
              </w:rPr>
              <w:t>HSW</w:t>
            </w:r>
            <w:r w:rsidRPr="004476B7">
              <w:rPr>
                <w:sz w:val="20"/>
                <w:szCs w:val="20"/>
              </w:rPr>
              <w:t xml:space="preserve"> processes </w:t>
            </w:r>
            <w:r>
              <w:rPr>
                <w:sz w:val="20"/>
                <w:szCs w:val="20"/>
              </w:rPr>
              <w:t xml:space="preserve">exist and </w:t>
            </w:r>
            <w:r w:rsidRPr="004476B7">
              <w:rPr>
                <w:sz w:val="20"/>
                <w:szCs w:val="20"/>
              </w:rPr>
              <w:t xml:space="preserve">are being applied effectively in daily operations. </w:t>
            </w:r>
            <w:r>
              <w:rPr>
                <w:sz w:val="20"/>
                <w:szCs w:val="20"/>
              </w:rPr>
              <w:t>Identify and a</w:t>
            </w:r>
            <w:r w:rsidRPr="004476B7">
              <w:rPr>
                <w:sz w:val="20"/>
                <w:szCs w:val="20"/>
              </w:rPr>
              <w:t>ddressing risks</w:t>
            </w:r>
            <w:r w:rsidR="00B3403F">
              <w:rPr>
                <w:sz w:val="20"/>
                <w:szCs w:val="20"/>
              </w:rPr>
              <w:t xml:space="preserve">. </w:t>
            </w:r>
            <w:r w:rsidR="00284876">
              <w:rPr>
                <w:sz w:val="20"/>
                <w:szCs w:val="20"/>
              </w:rPr>
              <w:t xml:space="preserve">Implement </w:t>
            </w:r>
            <w:r w:rsidRPr="004476B7">
              <w:rPr>
                <w:sz w:val="20"/>
                <w:szCs w:val="20"/>
              </w:rPr>
              <w:t xml:space="preserve">controls </w:t>
            </w:r>
            <w:r w:rsidR="00284876">
              <w:rPr>
                <w:sz w:val="20"/>
                <w:szCs w:val="20"/>
              </w:rPr>
              <w:t xml:space="preserve">and ensure they </w:t>
            </w:r>
            <w:r w:rsidRPr="004476B7">
              <w:rPr>
                <w:sz w:val="20"/>
                <w:szCs w:val="20"/>
              </w:rPr>
              <w:t>functioning as intended.</w:t>
            </w:r>
            <w:bookmarkEnd w:id="2"/>
          </w:p>
        </w:tc>
      </w:tr>
      <w:tr w:rsidR="007B0C50" w:rsidRPr="004476B7" w14:paraId="1A3E8A0F" w14:textId="77777777" w:rsidTr="007B0C50">
        <w:tc>
          <w:tcPr>
            <w:tcW w:w="10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037080" w14:textId="57D9DFA6" w:rsidR="007B0C50" w:rsidRPr="004476B7" w:rsidRDefault="007B0C50" w:rsidP="007B0C50">
            <w:pPr>
              <w:rPr>
                <w:sz w:val="20"/>
                <w:szCs w:val="20"/>
              </w:rPr>
            </w:pPr>
            <w:r w:rsidRPr="004476B7">
              <w:rPr>
                <w:sz w:val="20"/>
                <w:szCs w:val="20"/>
              </w:rPr>
              <w:t>Reporting Needs</w:t>
            </w:r>
          </w:p>
        </w:tc>
        <w:tc>
          <w:tcPr>
            <w:tcW w:w="49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FFBDF5" w14:textId="7756C34A" w:rsidR="007B0C50" w:rsidRPr="004476B7" w:rsidRDefault="007B0C50" w:rsidP="007B0C50">
            <w:pPr>
              <w:rPr>
                <w:sz w:val="20"/>
                <w:szCs w:val="20"/>
              </w:rPr>
            </w:pPr>
            <w:r>
              <w:rPr>
                <w:rFonts w:ascii="Aptos" w:hAnsi="Aptos" w:cs="Calibri"/>
                <w:sz w:val="20"/>
                <w:szCs w:val="20"/>
              </w:rPr>
              <w:t xml:space="preserve">Holistic, enterprise wide data and insights, with the ability to drop down into the detail where concerns are identified. </w:t>
            </w:r>
            <w:r w:rsidRPr="004476B7">
              <w:rPr>
                <w:rFonts w:ascii="Aptos" w:hAnsi="Aptos" w:cs="Calibri"/>
                <w:sz w:val="20"/>
                <w:szCs w:val="20"/>
              </w:rPr>
              <w:t xml:space="preserve">Insights into whether </w:t>
            </w:r>
            <w:r w:rsidR="00284876">
              <w:rPr>
                <w:rFonts w:ascii="Aptos" w:hAnsi="Aptos" w:cs="Calibri"/>
                <w:sz w:val="20"/>
                <w:szCs w:val="20"/>
              </w:rPr>
              <w:t>HSW</w:t>
            </w:r>
            <w:r w:rsidRPr="004476B7">
              <w:rPr>
                <w:rFonts w:ascii="Aptos" w:hAnsi="Aptos" w:cs="Calibri"/>
                <w:sz w:val="20"/>
                <w:szCs w:val="20"/>
              </w:rPr>
              <w:t xml:space="preserve"> frameworks are effective, emerging risks that could affect the business and </w:t>
            </w:r>
            <w:r w:rsidR="00284876">
              <w:rPr>
                <w:rFonts w:ascii="Aptos" w:hAnsi="Aptos" w:cs="Calibri"/>
                <w:sz w:val="20"/>
                <w:szCs w:val="20"/>
              </w:rPr>
              <w:t xml:space="preserve">that provide </w:t>
            </w:r>
            <w:r w:rsidRPr="004476B7">
              <w:rPr>
                <w:rFonts w:ascii="Aptos" w:hAnsi="Aptos" w:cs="Calibri"/>
                <w:sz w:val="20"/>
                <w:szCs w:val="20"/>
              </w:rPr>
              <w:t>confidence that critical risks are being managed appropriately.</w:t>
            </w:r>
            <w:r>
              <w:rPr>
                <w:rFonts w:ascii="Aptos" w:hAnsi="Aptos" w:cs="Calibri"/>
                <w:sz w:val="20"/>
                <w:szCs w:val="20"/>
              </w:rPr>
              <w:t xml:space="preserve"> Insights into the HSW culture of our organisation. </w:t>
            </w:r>
          </w:p>
        </w:tc>
        <w:tc>
          <w:tcPr>
            <w:tcW w:w="4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274994" w14:textId="73054433" w:rsidR="007B0C50" w:rsidRPr="004476B7" w:rsidRDefault="007B0C50" w:rsidP="007B0C50">
            <w:pPr>
              <w:rPr>
                <w:sz w:val="20"/>
                <w:szCs w:val="20"/>
              </w:rPr>
            </w:pPr>
            <w:r w:rsidRPr="004476B7">
              <w:rPr>
                <w:rFonts w:ascii="Aptos" w:hAnsi="Aptos" w:cs="Calibri"/>
                <w:sz w:val="20"/>
                <w:szCs w:val="20"/>
              </w:rPr>
              <w:t>Clear information on current safety performance</w:t>
            </w:r>
            <w:r>
              <w:rPr>
                <w:rFonts w:ascii="Aptos" w:hAnsi="Aptos" w:cs="Calibri"/>
                <w:sz w:val="20"/>
                <w:szCs w:val="20"/>
              </w:rPr>
              <w:t xml:space="preserve">, at an </w:t>
            </w:r>
            <w:r w:rsidR="00284876">
              <w:rPr>
                <w:rFonts w:ascii="Aptos" w:hAnsi="Aptos" w:cs="Calibri"/>
                <w:sz w:val="20"/>
                <w:szCs w:val="20"/>
              </w:rPr>
              <w:t>enterprise</w:t>
            </w:r>
            <w:r>
              <w:rPr>
                <w:rFonts w:ascii="Aptos" w:hAnsi="Aptos" w:cs="Calibri"/>
                <w:sz w:val="20"/>
                <w:szCs w:val="20"/>
              </w:rPr>
              <w:t xml:space="preserve"> level and for individual business units. Clarity around </w:t>
            </w:r>
            <w:r w:rsidRPr="004476B7">
              <w:rPr>
                <w:rFonts w:ascii="Aptos" w:hAnsi="Aptos" w:cs="Calibri"/>
                <w:sz w:val="20"/>
                <w:szCs w:val="20"/>
              </w:rPr>
              <w:t>operational risks</w:t>
            </w:r>
            <w:r>
              <w:rPr>
                <w:rFonts w:ascii="Aptos" w:hAnsi="Aptos" w:cs="Calibri"/>
                <w:sz w:val="20"/>
                <w:szCs w:val="20"/>
              </w:rPr>
              <w:t>, adoption of controls</w:t>
            </w:r>
            <w:r w:rsidRPr="004476B7">
              <w:rPr>
                <w:rFonts w:ascii="Aptos" w:hAnsi="Aptos" w:cs="Calibri"/>
                <w:sz w:val="20"/>
                <w:szCs w:val="20"/>
              </w:rPr>
              <w:t xml:space="preserve"> and whether workers have what they need to work safely.</w:t>
            </w:r>
            <w:r>
              <w:rPr>
                <w:rFonts w:ascii="Aptos" w:hAnsi="Aptos" w:cs="Calibri"/>
                <w:sz w:val="20"/>
                <w:szCs w:val="20"/>
              </w:rPr>
              <w:t xml:space="preserve"> Information about HSW culture at both </w:t>
            </w:r>
            <w:r w:rsidR="00284876">
              <w:rPr>
                <w:rFonts w:ascii="Aptos" w:hAnsi="Aptos" w:cs="Calibri"/>
                <w:sz w:val="20"/>
                <w:szCs w:val="20"/>
              </w:rPr>
              <w:t>enterprise</w:t>
            </w:r>
            <w:r>
              <w:rPr>
                <w:rFonts w:ascii="Aptos" w:hAnsi="Aptos" w:cs="Calibri"/>
                <w:sz w:val="20"/>
                <w:szCs w:val="20"/>
              </w:rPr>
              <w:t xml:space="preserve"> and business unit level.</w:t>
            </w:r>
          </w:p>
        </w:tc>
      </w:tr>
      <w:tr w:rsidR="007B0C50" w:rsidRPr="004476B7" w14:paraId="3F7DBB91" w14:textId="77777777" w:rsidTr="007B0C50">
        <w:tc>
          <w:tcPr>
            <w:tcW w:w="10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432C60" w14:textId="608253F4" w:rsidR="007B0C50" w:rsidRPr="004476B7" w:rsidRDefault="007B0C50" w:rsidP="007B0C50">
            <w:pPr>
              <w:rPr>
                <w:sz w:val="20"/>
                <w:szCs w:val="20"/>
              </w:rPr>
            </w:pPr>
            <w:r w:rsidRPr="004476B7">
              <w:rPr>
                <w:sz w:val="20"/>
                <w:szCs w:val="20"/>
              </w:rPr>
              <w:t>Who</w:t>
            </w:r>
          </w:p>
        </w:tc>
        <w:tc>
          <w:tcPr>
            <w:tcW w:w="49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DBA5DD" w14:textId="6113D946" w:rsidR="007B0C50" w:rsidRPr="004476B7" w:rsidRDefault="007B0C50" w:rsidP="007B0C50">
            <w:pPr>
              <w:rPr>
                <w:sz w:val="20"/>
                <w:szCs w:val="20"/>
              </w:rPr>
            </w:pPr>
            <w:r w:rsidRPr="004476B7">
              <w:rPr>
                <w:sz w:val="20"/>
                <w:szCs w:val="20"/>
              </w:rPr>
              <w:t>Officers of the business</w:t>
            </w:r>
            <w:r>
              <w:rPr>
                <w:sz w:val="20"/>
                <w:szCs w:val="20"/>
              </w:rPr>
              <w:t>, such as</w:t>
            </w:r>
            <w:r w:rsidRPr="004476B7">
              <w:rPr>
                <w:sz w:val="20"/>
                <w:szCs w:val="20"/>
              </w:rPr>
              <w:t xml:space="preserve"> Board Members</w:t>
            </w:r>
            <w:r w:rsidR="009418A3">
              <w:rPr>
                <w:sz w:val="20"/>
                <w:szCs w:val="20"/>
              </w:rPr>
              <w:t>,</w:t>
            </w:r>
            <w:r w:rsidRPr="004476B7">
              <w:rPr>
                <w:sz w:val="20"/>
                <w:szCs w:val="20"/>
              </w:rPr>
              <w:t xml:space="preserve"> Chie</w:t>
            </w:r>
            <w:r>
              <w:rPr>
                <w:sz w:val="20"/>
                <w:szCs w:val="20"/>
              </w:rPr>
              <w:t>f</w:t>
            </w:r>
            <w:r w:rsidRPr="004476B7">
              <w:rPr>
                <w:sz w:val="20"/>
                <w:szCs w:val="20"/>
              </w:rPr>
              <w:t xml:space="preserve"> Executive and</w:t>
            </w:r>
            <w:r>
              <w:rPr>
                <w:sz w:val="20"/>
                <w:szCs w:val="20"/>
              </w:rPr>
              <w:t xml:space="preserve"> </w:t>
            </w:r>
            <w:r w:rsidR="009418A3">
              <w:rPr>
                <w:sz w:val="20"/>
                <w:szCs w:val="20"/>
              </w:rPr>
              <w:t>some s</w:t>
            </w:r>
            <w:r w:rsidRPr="004476B7">
              <w:rPr>
                <w:sz w:val="20"/>
                <w:szCs w:val="20"/>
              </w:rPr>
              <w:t xml:space="preserve">enior </w:t>
            </w:r>
            <w:r w:rsidR="009418A3">
              <w:rPr>
                <w:sz w:val="20"/>
                <w:szCs w:val="20"/>
              </w:rPr>
              <w:t>or e</w:t>
            </w:r>
            <w:r w:rsidRPr="004476B7">
              <w:rPr>
                <w:sz w:val="20"/>
                <w:szCs w:val="20"/>
              </w:rPr>
              <w:t>xecutive</w:t>
            </w:r>
            <w:r w:rsidR="009418A3">
              <w:rPr>
                <w:sz w:val="20"/>
                <w:szCs w:val="20"/>
              </w:rPr>
              <w:t xml:space="preserve"> managers</w:t>
            </w:r>
            <w:r w:rsidRPr="004476B7">
              <w:rPr>
                <w:sz w:val="20"/>
                <w:szCs w:val="20"/>
              </w:rPr>
              <w:t>.</w:t>
            </w:r>
          </w:p>
          <w:p w14:paraId="3F76CA2E" w14:textId="033DF765" w:rsidR="007B0C50" w:rsidRPr="004476B7" w:rsidRDefault="007B0C50" w:rsidP="007B0C50">
            <w:pPr>
              <w:rPr>
                <w:i/>
                <w:iCs/>
                <w:sz w:val="16"/>
                <w:szCs w:val="16"/>
              </w:rPr>
            </w:pPr>
            <w:r w:rsidRPr="004476B7">
              <w:rPr>
                <w:i/>
                <w:iCs/>
                <w:sz w:val="16"/>
                <w:szCs w:val="16"/>
              </w:rPr>
              <w:t xml:space="preserve">Where there is no external Board – senior </w:t>
            </w:r>
            <w:r w:rsidR="009418A3">
              <w:rPr>
                <w:i/>
                <w:iCs/>
                <w:sz w:val="16"/>
                <w:szCs w:val="16"/>
              </w:rPr>
              <w:t xml:space="preserve">or </w:t>
            </w:r>
            <w:r w:rsidRPr="004476B7">
              <w:rPr>
                <w:i/>
                <w:iCs/>
                <w:sz w:val="16"/>
                <w:szCs w:val="16"/>
              </w:rPr>
              <w:t xml:space="preserve">executive </w:t>
            </w:r>
            <w:r w:rsidR="009418A3">
              <w:rPr>
                <w:i/>
                <w:iCs/>
                <w:sz w:val="16"/>
                <w:szCs w:val="16"/>
              </w:rPr>
              <w:t>managers</w:t>
            </w:r>
            <w:r w:rsidRPr="004476B7">
              <w:rPr>
                <w:i/>
                <w:iCs/>
                <w:sz w:val="16"/>
                <w:szCs w:val="16"/>
              </w:rPr>
              <w:t xml:space="preserve"> in the </w:t>
            </w:r>
            <w:r>
              <w:rPr>
                <w:i/>
                <w:iCs/>
                <w:sz w:val="16"/>
                <w:szCs w:val="16"/>
              </w:rPr>
              <w:t>organisation are officers</w:t>
            </w:r>
            <w:r w:rsidRPr="004476B7">
              <w:rPr>
                <w:i/>
                <w:iCs/>
                <w:sz w:val="16"/>
                <w:szCs w:val="16"/>
              </w:rPr>
              <w:t>.</w:t>
            </w:r>
          </w:p>
          <w:p w14:paraId="680A514A" w14:textId="3E567069" w:rsidR="007B0C50" w:rsidRPr="004476B7" w:rsidRDefault="007B0C50" w:rsidP="007B0C50">
            <w:pPr>
              <w:rPr>
                <w:sz w:val="20"/>
                <w:szCs w:val="20"/>
              </w:rPr>
            </w:pPr>
            <w:r w:rsidRPr="004476B7">
              <w:rPr>
                <w:i/>
                <w:iCs/>
                <w:sz w:val="16"/>
                <w:szCs w:val="16"/>
              </w:rPr>
              <w:t>Where there is an external Board – Board members and Chief Executive</w:t>
            </w:r>
            <w:r>
              <w:rPr>
                <w:i/>
                <w:iCs/>
                <w:sz w:val="16"/>
                <w:szCs w:val="16"/>
              </w:rPr>
              <w:t xml:space="preserve"> are officers</w:t>
            </w:r>
            <w:r w:rsidRPr="004476B7">
              <w:rPr>
                <w:i/>
                <w:iCs/>
                <w:sz w:val="16"/>
                <w:szCs w:val="16"/>
              </w:rPr>
              <w:t xml:space="preserve">. </w:t>
            </w:r>
            <w:r>
              <w:rPr>
                <w:i/>
                <w:iCs/>
                <w:sz w:val="16"/>
                <w:szCs w:val="16"/>
              </w:rPr>
              <w:t>(O</w:t>
            </w:r>
            <w:r w:rsidRPr="004476B7">
              <w:rPr>
                <w:i/>
                <w:iCs/>
                <w:sz w:val="16"/>
                <w:szCs w:val="16"/>
              </w:rPr>
              <w:t xml:space="preserve">ther senior </w:t>
            </w:r>
            <w:r w:rsidR="009418A3">
              <w:rPr>
                <w:i/>
                <w:iCs/>
                <w:sz w:val="16"/>
                <w:szCs w:val="16"/>
              </w:rPr>
              <w:t>or executive managers</w:t>
            </w:r>
            <w:r w:rsidRPr="004476B7">
              <w:rPr>
                <w:i/>
                <w:iCs/>
                <w:sz w:val="16"/>
                <w:szCs w:val="16"/>
              </w:rPr>
              <w:t xml:space="preserve"> with a large sphere of influence and control</w:t>
            </w:r>
            <w:r>
              <w:rPr>
                <w:i/>
                <w:iCs/>
                <w:sz w:val="16"/>
                <w:szCs w:val="16"/>
              </w:rPr>
              <w:t xml:space="preserve"> may also be officers)</w:t>
            </w:r>
            <w:r w:rsidRPr="004476B7">
              <w:rPr>
                <w:i/>
                <w:iCs/>
                <w:sz w:val="16"/>
                <w:szCs w:val="16"/>
              </w:rPr>
              <w:t>.</w:t>
            </w:r>
          </w:p>
        </w:tc>
        <w:tc>
          <w:tcPr>
            <w:tcW w:w="4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DD6BCE" w14:textId="523D2C52" w:rsidR="007B0C50" w:rsidRPr="004476B7" w:rsidRDefault="007B0C50" w:rsidP="007B0C50">
            <w:pPr>
              <w:rPr>
                <w:sz w:val="20"/>
                <w:szCs w:val="20"/>
              </w:rPr>
            </w:pPr>
            <w:bookmarkStart w:id="3" w:name="_Hlk195192335"/>
            <w:r w:rsidRPr="004476B7">
              <w:rPr>
                <w:sz w:val="20"/>
                <w:szCs w:val="20"/>
              </w:rPr>
              <w:t>Chief Executive</w:t>
            </w:r>
            <w:r>
              <w:rPr>
                <w:sz w:val="20"/>
                <w:szCs w:val="20"/>
              </w:rPr>
              <w:t xml:space="preserve"> and other senior </w:t>
            </w:r>
            <w:r w:rsidR="009418A3">
              <w:rPr>
                <w:sz w:val="20"/>
                <w:szCs w:val="20"/>
              </w:rPr>
              <w:t xml:space="preserve">or executive </w:t>
            </w:r>
            <w:r w:rsidR="00284876">
              <w:rPr>
                <w:sz w:val="20"/>
                <w:szCs w:val="20"/>
              </w:rPr>
              <w:t>managers</w:t>
            </w:r>
            <w:r>
              <w:rPr>
                <w:sz w:val="20"/>
                <w:szCs w:val="20"/>
              </w:rPr>
              <w:t xml:space="preserve"> who routinely attend top level management meeting</w:t>
            </w:r>
            <w:r w:rsidR="009418A3">
              <w:rPr>
                <w:sz w:val="20"/>
                <w:szCs w:val="20"/>
              </w:rPr>
              <w:t>s</w:t>
            </w:r>
            <w:r>
              <w:rPr>
                <w:sz w:val="20"/>
                <w:szCs w:val="20"/>
              </w:rPr>
              <w:t xml:space="preserve"> and are </w:t>
            </w:r>
            <w:r w:rsidRPr="004476B7">
              <w:rPr>
                <w:sz w:val="20"/>
                <w:szCs w:val="20"/>
              </w:rPr>
              <w:t>responsible for</w:t>
            </w:r>
            <w:r>
              <w:rPr>
                <w:sz w:val="20"/>
                <w:szCs w:val="20"/>
              </w:rPr>
              <w:t xml:space="preserve"> </w:t>
            </w:r>
            <w:r w:rsidRPr="004476B7">
              <w:rPr>
                <w:sz w:val="20"/>
                <w:szCs w:val="20"/>
              </w:rPr>
              <w:t>operational decision-making.</w:t>
            </w:r>
            <w:bookmarkEnd w:id="3"/>
          </w:p>
        </w:tc>
      </w:tr>
      <w:tr w:rsidR="007B0C50" w:rsidRPr="004476B7" w14:paraId="6F8F5817" w14:textId="77777777" w:rsidTr="007B0C50">
        <w:tc>
          <w:tcPr>
            <w:tcW w:w="10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917BB9" w14:textId="321A5703" w:rsidR="007B0C50" w:rsidRPr="004476B7" w:rsidRDefault="007B0C50" w:rsidP="007B0C50">
            <w:pPr>
              <w:rPr>
                <w:sz w:val="20"/>
                <w:szCs w:val="20"/>
              </w:rPr>
            </w:pPr>
            <w:r w:rsidRPr="004476B7">
              <w:rPr>
                <w:sz w:val="20"/>
                <w:szCs w:val="20"/>
              </w:rPr>
              <w:t>Key Questions</w:t>
            </w:r>
          </w:p>
        </w:tc>
        <w:tc>
          <w:tcPr>
            <w:tcW w:w="49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443E13" w14:textId="7E4C76CF" w:rsidR="007B0C50" w:rsidRPr="004476B7" w:rsidRDefault="007B0C50" w:rsidP="007B0C50">
            <w:pPr>
              <w:rPr>
                <w:sz w:val="20"/>
                <w:szCs w:val="20"/>
              </w:rPr>
            </w:pPr>
            <w:r w:rsidRPr="004476B7">
              <w:rPr>
                <w:sz w:val="20"/>
                <w:szCs w:val="20"/>
              </w:rPr>
              <w:t xml:space="preserve">Do we have the right </w:t>
            </w:r>
            <w:r>
              <w:rPr>
                <w:sz w:val="20"/>
                <w:szCs w:val="20"/>
              </w:rPr>
              <w:t xml:space="preserve">strategy, </w:t>
            </w:r>
            <w:r w:rsidRPr="004476B7">
              <w:rPr>
                <w:sz w:val="20"/>
                <w:szCs w:val="20"/>
              </w:rPr>
              <w:t xml:space="preserve">frameworks, policies and resources in place? </w:t>
            </w:r>
            <w:r>
              <w:rPr>
                <w:sz w:val="20"/>
                <w:szCs w:val="20"/>
              </w:rPr>
              <w:t>Does our vision</w:t>
            </w:r>
            <w:r w:rsidRPr="004476B7">
              <w:rPr>
                <w:sz w:val="20"/>
                <w:szCs w:val="20"/>
              </w:rPr>
              <w:t xml:space="preserve"> foster a culture where risks are understood and managed effectively? Are we </w:t>
            </w:r>
            <w:r>
              <w:rPr>
                <w:sz w:val="20"/>
                <w:szCs w:val="20"/>
              </w:rPr>
              <w:t xml:space="preserve">working at a holistic, </w:t>
            </w:r>
            <w:r w:rsidR="00B2798A">
              <w:rPr>
                <w:sz w:val="20"/>
                <w:szCs w:val="20"/>
              </w:rPr>
              <w:t>enterprise-wide</w:t>
            </w:r>
            <w:r>
              <w:rPr>
                <w:sz w:val="20"/>
                <w:szCs w:val="20"/>
              </w:rPr>
              <w:t xml:space="preserve"> level? Are we </w:t>
            </w:r>
            <w:r w:rsidRPr="004476B7">
              <w:rPr>
                <w:sz w:val="20"/>
                <w:szCs w:val="20"/>
              </w:rPr>
              <w:t xml:space="preserve">identifying and addressing long-term risks to worker </w:t>
            </w:r>
            <w:r w:rsidR="009418A3">
              <w:rPr>
                <w:sz w:val="20"/>
                <w:szCs w:val="20"/>
              </w:rPr>
              <w:t>HSW</w:t>
            </w:r>
            <w:r w:rsidRPr="004476B7">
              <w:rPr>
                <w:sz w:val="20"/>
                <w:szCs w:val="20"/>
              </w:rPr>
              <w:t>?</w:t>
            </w:r>
          </w:p>
        </w:tc>
        <w:tc>
          <w:tcPr>
            <w:tcW w:w="46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0E3EE2" w14:textId="35AADD20" w:rsidR="007B0C50" w:rsidRPr="006611D2" w:rsidRDefault="007B0C50" w:rsidP="007B0C50">
            <w:pPr>
              <w:rPr>
                <w:rFonts w:ascii="Aptos" w:hAnsi="Aptos" w:cs="Calibri"/>
                <w:sz w:val="20"/>
                <w:szCs w:val="20"/>
              </w:rPr>
            </w:pPr>
            <w:r>
              <w:rPr>
                <w:sz w:val="20"/>
                <w:szCs w:val="20"/>
              </w:rPr>
              <w:t xml:space="preserve">Do we understand and are we implementing the strategy set by our governance function? </w:t>
            </w:r>
            <w:r w:rsidR="00B2798A" w:rsidRPr="004476B7">
              <w:rPr>
                <w:sz w:val="20"/>
                <w:szCs w:val="20"/>
              </w:rPr>
              <w:t>What</w:t>
            </w:r>
            <w:r w:rsidR="00B2798A">
              <w:rPr>
                <w:sz w:val="20"/>
                <w:szCs w:val="20"/>
              </w:rPr>
              <w:t xml:space="preserve"> </w:t>
            </w:r>
            <w:r w:rsidR="00B2798A" w:rsidRPr="004476B7">
              <w:rPr>
                <w:sz w:val="20"/>
                <w:szCs w:val="20"/>
              </w:rPr>
              <w:t>is</w:t>
            </w:r>
            <w:r w:rsidRPr="004476B7">
              <w:rPr>
                <w:sz w:val="20"/>
                <w:szCs w:val="20"/>
              </w:rPr>
              <w:t xml:space="preserve"> impacting health and safety performance?</w:t>
            </w:r>
            <w:r>
              <w:rPr>
                <w:sz w:val="20"/>
                <w:szCs w:val="20"/>
              </w:rPr>
              <w:t xml:space="preserve"> Are we drilling down into the detail to understand the reality of our work and how it is done?</w:t>
            </w:r>
            <w:r w:rsidRPr="004476B7">
              <w:rPr>
                <w:sz w:val="20"/>
                <w:szCs w:val="20"/>
              </w:rPr>
              <w:t xml:space="preserve"> Are our risk controls effective in practice? </w:t>
            </w:r>
            <w:r>
              <w:rPr>
                <w:sz w:val="20"/>
                <w:szCs w:val="20"/>
              </w:rPr>
              <w:t>Are</w:t>
            </w:r>
            <w:r w:rsidRPr="004476B7">
              <w:rPr>
                <w:sz w:val="20"/>
                <w:szCs w:val="20"/>
              </w:rPr>
              <w:t xml:space="preserve"> </w:t>
            </w:r>
            <w:r>
              <w:rPr>
                <w:sz w:val="20"/>
                <w:szCs w:val="20"/>
              </w:rPr>
              <w:t xml:space="preserve">we </w:t>
            </w:r>
            <w:r w:rsidRPr="004476B7">
              <w:rPr>
                <w:sz w:val="20"/>
                <w:szCs w:val="20"/>
              </w:rPr>
              <w:t>foster</w:t>
            </w:r>
            <w:r>
              <w:rPr>
                <w:sz w:val="20"/>
                <w:szCs w:val="20"/>
              </w:rPr>
              <w:t>ing</w:t>
            </w:r>
            <w:r w:rsidRPr="004476B7">
              <w:rPr>
                <w:sz w:val="20"/>
                <w:szCs w:val="20"/>
              </w:rPr>
              <w:t xml:space="preserve"> a culture where risks are understood and managed effectively? What actions are needed to address emerging safety concerns?</w:t>
            </w:r>
          </w:p>
        </w:tc>
      </w:tr>
    </w:tbl>
    <w:p w14:paraId="0B5F449D" w14:textId="0717E814" w:rsidR="00E26E6B" w:rsidRPr="00E26E6B" w:rsidRDefault="00E26E6B" w:rsidP="00A737DB">
      <w:pPr>
        <w:sectPr w:rsidR="00E26E6B" w:rsidRPr="00E26E6B" w:rsidSect="002C0E0D">
          <w:pgSz w:w="11906" w:h="16838"/>
          <w:pgMar w:top="1440" w:right="1080" w:bottom="1440" w:left="1080" w:header="708" w:footer="708" w:gutter="0"/>
          <w:cols w:space="708"/>
          <w:docGrid w:linePitch="360"/>
        </w:sectPr>
      </w:pPr>
    </w:p>
    <w:bookmarkEnd w:id="0"/>
    <w:p w14:paraId="2262E307" w14:textId="457F8F12" w:rsidR="00BD4E50" w:rsidRPr="00A127A5" w:rsidRDefault="00194E0A" w:rsidP="00BD4E50">
      <w:pPr>
        <w:pStyle w:val="NormalWeb"/>
        <w:spacing w:before="0" w:beforeAutospacing="0" w:after="240" w:afterAutospacing="0"/>
        <w:rPr>
          <w:rFonts w:ascii="Aptos" w:hAnsi="Aptos" w:cs="Calibri"/>
          <w:b/>
          <w:bCs/>
        </w:rPr>
      </w:pPr>
      <w:r>
        <w:rPr>
          <w:rFonts w:ascii="Aptos" w:hAnsi="Aptos" w:cs="Calibri"/>
          <w:b/>
          <w:bCs/>
        </w:rPr>
        <w:lastRenderedPageBreak/>
        <w:t xml:space="preserve">HSW Reporting for </w:t>
      </w:r>
      <w:r w:rsidR="00BD4E50" w:rsidRPr="00A127A5">
        <w:rPr>
          <w:rFonts w:ascii="Aptos" w:hAnsi="Aptos" w:cs="Calibri"/>
          <w:b/>
          <w:bCs/>
        </w:rPr>
        <w:t xml:space="preserve">Officers </w:t>
      </w:r>
      <w:r w:rsidR="00763022" w:rsidRPr="00A127A5">
        <w:rPr>
          <w:rFonts w:ascii="Aptos" w:hAnsi="Aptos" w:cs="Calibri"/>
          <w:b/>
          <w:bCs/>
        </w:rPr>
        <w:t>– the governance function</w:t>
      </w:r>
      <w:r w:rsidR="00BD4E50" w:rsidRPr="00A127A5">
        <w:rPr>
          <w:rFonts w:ascii="Aptos" w:hAnsi="Aptos" w:cs="Calibri"/>
          <w:b/>
          <w:bCs/>
        </w:rPr>
        <w:t>:</w:t>
      </w:r>
    </w:p>
    <w:p w14:paraId="445FA981" w14:textId="37D1CA0D" w:rsidR="00194E0A" w:rsidRDefault="00194E0A" w:rsidP="00194E0A">
      <w:pPr>
        <w:rPr>
          <w:i/>
          <w:iCs/>
        </w:rPr>
      </w:pPr>
      <w:r w:rsidRPr="007B0C50">
        <w:rPr>
          <w:i/>
          <w:iCs/>
          <w:sz w:val="20"/>
          <w:szCs w:val="20"/>
        </w:rPr>
        <w:t xml:space="preserve">Note: Where an organisation does not have an independent board, the senior </w:t>
      </w:r>
      <w:r>
        <w:rPr>
          <w:i/>
          <w:iCs/>
          <w:sz w:val="20"/>
          <w:szCs w:val="20"/>
        </w:rPr>
        <w:t>or executive managers</w:t>
      </w:r>
      <w:r w:rsidRPr="007B0C50">
        <w:rPr>
          <w:i/>
          <w:iCs/>
          <w:sz w:val="20"/>
          <w:szCs w:val="20"/>
        </w:rPr>
        <w:t xml:space="preserve"> will undertake both governance and management roles.  In doing so, these two functions must be kept separate and the management of the business must not be allowed to unduly influence the governance of the business, and vice versa</w:t>
      </w:r>
      <w:r w:rsidRPr="007E53A5">
        <w:rPr>
          <w:i/>
          <w:iCs/>
        </w:rPr>
        <w:t xml:space="preserve">. </w:t>
      </w:r>
    </w:p>
    <w:p w14:paraId="7572D521" w14:textId="69A9580C" w:rsidR="00162EA6" w:rsidRPr="000057D8" w:rsidRDefault="00162EA6" w:rsidP="00162EA6">
      <w:pPr>
        <w:pStyle w:val="NormalWeb"/>
        <w:spacing w:after="240"/>
        <w:rPr>
          <w:rFonts w:ascii="Aptos" w:hAnsi="Aptos" w:cs="Calibri"/>
          <w:sz w:val="22"/>
          <w:szCs w:val="22"/>
        </w:rPr>
      </w:pPr>
      <w:r w:rsidRPr="000057D8">
        <w:rPr>
          <w:rFonts w:ascii="Aptos" w:hAnsi="Aptos" w:cs="Calibri"/>
          <w:sz w:val="22"/>
          <w:szCs w:val="22"/>
        </w:rPr>
        <w:t>HS</w:t>
      </w:r>
      <w:r w:rsidR="00BE3CC3">
        <w:rPr>
          <w:rFonts w:ascii="Aptos" w:hAnsi="Aptos" w:cs="Calibri"/>
          <w:sz w:val="22"/>
          <w:szCs w:val="22"/>
        </w:rPr>
        <w:t>W</w:t>
      </w:r>
      <w:r w:rsidRPr="000057D8">
        <w:rPr>
          <w:rFonts w:ascii="Aptos" w:hAnsi="Aptos" w:cs="Calibri"/>
          <w:sz w:val="22"/>
          <w:szCs w:val="22"/>
        </w:rPr>
        <w:t xml:space="preserve"> reporting should encourage transparency, learning and honest conversations. </w:t>
      </w:r>
      <w:r w:rsidR="00BE3CC3">
        <w:rPr>
          <w:rFonts w:ascii="Aptos" w:hAnsi="Aptos" w:cs="Calibri"/>
          <w:sz w:val="22"/>
          <w:szCs w:val="22"/>
        </w:rPr>
        <w:t>Officers</w:t>
      </w:r>
      <w:r w:rsidRPr="000057D8">
        <w:rPr>
          <w:rFonts w:ascii="Aptos" w:hAnsi="Aptos" w:cs="Calibri"/>
          <w:sz w:val="22"/>
          <w:szCs w:val="22"/>
        </w:rPr>
        <w:t xml:space="preserve"> must create an environment where safety challenges can be openly discussed without fear of repercussions.</w:t>
      </w:r>
    </w:p>
    <w:p w14:paraId="72F515E4" w14:textId="0BEFF16E" w:rsidR="00F07C40" w:rsidRDefault="00F07C40" w:rsidP="00F07C40">
      <w:r>
        <w:t xml:space="preserve">Reporting to support meeting officer duties should be narrative and investigative in approach – </w:t>
      </w:r>
      <w:r w:rsidR="00BE3CC3">
        <w:t>testing the reality of reports and observations</w:t>
      </w:r>
      <w:r>
        <w:t xml:space="preserve">. </w:t>
      </w:r>
      <w:bookmarkStart w:id="4" w:name="_Hlk195180175"/>
      <w:r>
        <w:t>Care needs to be taken to maintain an overview of the organisation</w:t>
      </w:r>
      <w:r w:rsidR="00BE3CC3">
        <w:t>,</w:t>
      </w:r>
      <w:r>
        <w:t xml:space="preserve"> whilst not being afraid to take a structured deep</w:t>
      </w:r>
      <w:r w:rsidR="00BE3CC3">
        <w:t xml:space="preserve"> </w:t>
      </w:r>
      <w:r>
        <w:t>dive into an area where there is a concern.</w:t>
      </w:r>
      <w:bookmarkEnd w:id="4"/>
    </w:p>
    <w:p w14:paraId="3F55B76D" w14:textId="6CE70021" w:rsidR="00F07C40" w:rsidRDefault="00F07C40" w:rsidP="00F07C40">
      <w:r>
        <w:t>Regular reports like Incident and Accident rates or Lost Time Injury Frequency rates should be shown</w:t>
      </w:r>
      <w:r w:rsidR="00BE3CC3">
        <w:t xml:space="preserve"> as trends</w:t>
      </w:r>
      <w:r>
        <w:t xml:space="preserve"> over time and, where there is a significant change, exploration undertaken to understand what might be causing th</w:t>
      </w:r>
      <w:r w:rsidR="00BE3CC3">
        <w:t>at</w:t>
      </w:r>
      <w:r>
        <w:t xml:space="preserve"> change. Such rates should not be used as a target or measure of performance</w:t>
      </w:r>
      <w:r w:rsidR="00BE3CC3">
        <w:t>, they are a flag for further investigation.</w:t>
      </w:r>
    </w:p>
    <w:p w14:paraId="30D4747B" w14:textId="4C4E464D" w:rsidR="00162EA6" w:rsidRPr="000057D8" w:rsidRDefault="00162EA6" w:rsidP="00162EA6">
      <w:pPr>
        <w:pStyle w:val="NormalWeb"/>
        <w:spacing w:after="240"/>
        <w:rPr>
          <w:rFonts w:ascii="Aptos" w:hAnsi="Aptos" w:cs="Calibri"/>
          <w:sz w:val="22"/>
          <w:szCs w:val="22"/>
        </w:rPr>
      </w:pPr>
      <w:r w:rsidRPr="000057D8">
        <w:rPr>
          <w:rFonts w:ascii="Aptos" w:hAnsi="Aptos" w:cs="Calibri"/>
          <w:sz w:val="22"/>
          <w:szCs w:val="22"/>
        </w:rPr>
        <w:t xml:space="preserve">The Key Principles for </w:t>
      </w:r>
      <w:r w:rsidR="009314E7" w:rsidRPr="000057D8">
        <w:rPr>
          <w:rFonts w:ascii="Aptos" w:hAnsi="Aptos" w:cs="Calibri"/>
          <w:sz w:val="22"/>
          <w:szCs w:val="22"/>
        </w:rPr>
        <w:t>o</w:t>
      </w:r>
      <w:r w:rsidRPr="000057D8">
        <w:rPr>
          <w:rFonts w:ascii="Aptos" w:hAnsi="Aptos" w:cs="Calibri"/>
          <w:sz w:val="22"/>
          <w:szCs w:val="22"/>
        </w:rPr>
        <w:t>fficers while engaging with H</w:t>
      </w:r>
      <w:r w:rsidR="007A5FBF">
        <w:rPr>
          <w:rFonts w:ascii="Aptos" w:hAnsi="Aptos" w:cs="Calibri"/>
          <w:sz w:val="22"/>
          <w:szCs w:val="22"/>
        </w:rPr>
        <w:t>SW</w:t>
      </w:r>
      <w:r w:rsidRPr="000057D8">
        <w:rPr>
          <w:rFonts w:ascii="Aptos" w:hAnsi="Aptos" w:cs="Calibri"/>
          <w:sz w:val="22"/>
          <w:szCs w:val="22"/>
        </w:rPr>
        <w:t xml:space="preserve"> reports:</w:t>
      </w:r>
    </w:p>
    <w:p w14:paraId="06C16AB6" w14:textId="7F37FE3F" w:rsidR="009E55D4" w:rsidRPr="000057D8" w:rsidRDefault="000057D8" w:rsidP="00BD4E50">
      <w:pPr>
        <w:pStyle w:val="NormalWeb"/>
        <w:numPr>
          <w:ilvl w:val="0"/>
          <w:numId w:val="19"/>
        </w:numPr>
        <w:spacing w:before="0" w:beforeAutospacing="0" w:after="240" w:afterAutospacing="0"/>
        <w:rPr>
          <w:rFonts w:ascii="Aptos" w:hAnsi="Aptos" w:cs="Calibri"/>
          <w:sz w:val="22"/>
          <w:szCs w:val="22"/>
        </w:rPr>
      </w:pPr>
      <w:r w:rsidRPr="000057D8">
        <w:rPr>
          <w:rFonts w:ascii="Aptos" w:hAnsi="Aptos" w:cs="Calibri"/>
          <w:sz w:val="22"/>
          <w:szCs w:val="22"/>
        </w:rPr>
        <w:t xml:space="preserve">Primary goal is to develop a holistic and qualitative view of the activity of work and its effect on workplace </w:t>
      </w:r>
      <w:r w:rsidR="007A5FBF">
        <w:rPr>
          <w:rFonts w:ascii="Aptos" w:hAnsi="Aptos" w:cs="Calibri"/>
          <w:sz w:val="22"/>
          <w:szCs w:val="22"/>
        </w:rPr>
        <w:t>HSW</w:t>
      </w:r>
      <w:r w:rsidRPr="000057D8">
        <w:rPr>
          <w:rFonts w:ascii="Aptos" w:hAnsi="Aptos" w:cs="Calibri"/>
          <w:sz w:val="22"/>
          <w:szCs w:val="22"/>
        </w:rPr>
        <w:t>.</w:t>
      </w:r>
    </w:p>
    <w:p w14:paraId="46AC59B6" w14:textId="71AF26EF" w:rsidR="00BD4E50" w:rsidRPr="000057D8" w:rsidRDefault="00AE2164" w:rsidP="00BD4E50">
      <w:pPr>
        <w:pStyle w:val="NormalWeb"/>
        <w:numPr>
          <w:ilvl w:val="0"/>
          <w:numId w:val="19"/>
        </w:numPr>
        <w:spacing w:before="0" w:beforeAutospacing="0" w:after="240" w:afterAutospacing="0"/>
        <w:rPr>
          <w:rFonts w:ascii="Aptos" w:hAnsi="Aptos" w:cs="Calibri"/>
          <w:sz w:val="22"/>
          <w:szCs w:val="22"/>
        </w:rPr>
      </w:pPr>
      <w:r>
        <w:rPr>
          <w:rFonts w:ascii="Aptos" w:hAnsi="Aptos" w:cs="Calibri"/>
          <w:sz w:val="22"/>
          <w:szCs w:val="22"/>
        </w:rPr>
        <w:t>Develop</w:t>
      </w:r>
      <w:r w:rsidR="00BD4E50" w:rsidRPr="000057D8">
        <w:rPr>
          <w:rFonts w:ascii="Aptos" w:hAnsi="Aptos" w:cs="Calibri"/>
          <w:sz w:val="22"/>
          <w:szCs w:val="22"/>
        </w:rPr>
        <w:t xml:space="preserve"> skill, competence &amp; diligence to interpret HS</w:t>
      </w:r>
      <w:r w:rsidR="007A5FBF">
        <w:rPr>
          <w:rFonts w:ascii="Aptos" w:hAnsi="Aptos" w:cs="Calibri"/>
          <w:sz w:val="22"/>
          <w:szCs w:val="22"/>
        </w:rPr>
        <w:t>W</w:t>
      </w:r>
      <w:r w:rsidR="00BD4E50" w:rsidRPr="000057D8">
        <w:rPr>
          <w:rFonts w:ascii="Aptos" w:hAnsi="Aptos" w:cs="Calibri"/>
          <w:sz w:val="22"/>
          <w:szCs w:val="22"/>
        </w:rPr>
        <w:t xml:space="preserve"> information effectively.</w:t>
      </w:r>
      <w:r>
        <w:rPr>
          <w:rFonts w:ascii="Aptos" w:hAnsi="Aptos" w:cs="Calibri"/>
          <w:sz w:val="22"/>
          <w:szCs w:val="22"/>
        </w:rPr>
        <w:t xml:space="preserve"> Utilise technical expertise </w:t>
      </w:r>
      <w:r w:rsidR="007A5FBF">
        <w:rPr>
          <w:rFonts w:ascii="Aptos" w:hAnsi="Aptos" w:cs="Calibri"/>
          <w:sz w:val="22"/>
          <w:szCs w:val="22"/>
        </w:rPr>
        <w:t>where needed</w:t>
      </w:r>
      <w:r>
        <w:rPr>
          <w:rFonts w:ascii="Aptos" w:hAnsi="Aptos" w:cs="Calibri"/>
          <w:sz w:val="22"/>
          <w:szCs w:val="22"/>
        </w:rPr>
        <w:t>.</w:t>
      </w:r>
    </w:p>
    <w:p w14:paraId="5CFA709C" w14:textId="75A462E1" w:rsidR="00BD4E50" w:rsidRPr="000057D8" w:rsidRDefault="00BD4E50" w:rsidP="00BD4E50">
      <w:pPr>
        <w:pStyle w:val="NormalWeb"/>
        <w:numPr>
          <w:ilvl w:val="0"/>
          <w:numId w:val="19"/>
        </w:numPr>
        <w:spacing w:before="0" w:beforeAutospacing="0" w:after="240" w:afterAutospacing="0"/>
        <w:rPr>
          <w:rFonts w:ascii="Aptos" w:hAnsi="Aptos" w:cs="Calibri"/>
          <w:sz w:val="22"/>
          <w:szCs w:val="22"/>
        </w:rPr>
      </w:pPr>
      <w:r w:rsidRPr="000057D8">
        <w:rPr>
          <w:rFonts w:ascii="Aptos" w:hAnsi="Aptos" w:cs="Calibri"/>
          <w:sz w:val="22"/>
          <w:szCs w:val="22"/>
        </w:rPr>
        <w:t>Critically review reports with an inquiring mind</w:t>
      </w:r>
      <w:r w:rsidR="007A5FBF">
        <w:rPr>
          <w:rFonts w:ascii="Aptos" w:hAnsi="Aptos" w:cs="Calibri"/>
          <w:sz w:val="22"/>
          <w:szCs w:val="22"/>
        </w:rPr>
        <w:t xml:space="preserve"> and be prepared to challenge assumptions</w:t>
      </w:r>
      <w:r w:rsidRPr="000057D8">
        <w:rPr>
          <w:rFonts w:ascii="Aptos" w:hAnsi="Aptos" w:cs="Calibri"/>
          <w:sz w:val="22"/>
          <w:szCs w:val="22"/>
        </w:rPr>
        <w:t>.</w:t>
      </w:r>
    </w:p>
    <w:p w14:paraId="0EBEF42E" w14:textId="26CFDC61" w:rsidR="00BD4E50" w:rsidRPr="000057D8" w:rsidRDefault="00BD4E50" w:rsidP="00162EA6">
      <w:pPr>
        <w:pStyle w:val="NormalWeb"/>
        <w:numPr>
          <w:ilvl w:val="0"/>
          <w:numId w:val="19"/>
        </w:numPr>
        <w:spacing w:before="0" w:beforeAutospacing="0" w:after="240" w:afterAutospacing="0"/>
        <w:rPr>
          <w:rFonts w:ascii="Aptos" w:hAnsi="Aptos" w:cs="Calibri"/>
          <w:sz w:val="22"/>
          <w:szCs w:val="22"/>
        </w:rPr>
      </w:pPr>
      <w:r w:rsidRPr="000057D8">
        <w:rPr>
          <w:rFonts w:ascii="Aptos" w:hAnsi="Aptos" w:cs="Calibri"/>
          <w:sz w:val="22"/>
          <w:szCs w:val="22"/>
        </w:rPr>
        <w:t>Take an active interest in</w:t>
      </w:r>
      <w:r w:rsidR="00356A03">
        <w:rPr>
          <w:rFonts w:ascii="Aptos" w:hAnsi="Aptos" w:cs="Calibri"/>
          <w:sz w:val="22"/>
          <w:szCs w:val="22"/>
        </w:rPr>
        <w:t xml:space="preserve"> both work and</w:t>
      </w:r>
      <w:r w:rsidRPr="000057D8">
        <w:rPr>
          <w:rFonts w:ascii="Aptos" w:hAnsi="Aptos" w:cs="Calibri"/>
          <w:sz w:val="22"/>
          <w:szCs w:val="22"/>
        </w:rPr>
        <w:t xml:space="preserve"> workplace HS</w:t>
      </w:r>
      <w:r w:rsidR="007A5FBF">
        <w:rPr>
          <w:rFonts w:ascii="Aptos" w:hAnsi="Aptos" w:cs="Calibri"/>
          <w:sz w:val="22"/>
          <w:szCs w:val="22"/>
        </w:rPr>
        <w:t>W</w:t>
      </w:r>
      <w:r w:rsidRPr="000057D8">
        <w:rPr>
          <w:rFonts w:ascii="Aptos" w:hAnsi="Aptos" w:cs="Calibri"/>
          <w:sz w:val="22"/>
          <w:szCs w:val="22"/>
        </w:rPr>
        <w:t xml:space="preserve">, </w:t>
      </w:r>
      <w:r w:rsidR="007A5FBF">
        <w:rPr>
          <w:rFonts w:ascii="Aptos" w:hAnsi="Aptos" w:cs="Calibri"/>
          <w:sz w:val="22"/>
          <w:szCs w:val="22"/>
        </w:rPr>
        <w:t>understanding the variation in how work is done day-to-day, with a particular focus on critical risks</w:t>
      </w:r>
      <w:r w:rsidR="00356A03">
        <w:rPr>
          <w:rFonts w:ascii="Aptos" w:hAnsi="Aptos" w:cs="Calibri"/>
          <w:sz w:val="22"/>
          <w:szCs w:val="22"/>
        </w:rPr>
        <w:t>.</w:t>
      </w:r>
    </w:p>
    <w:p w14:paraId="7515C09F" w14:textId="15D31854" w:rsidR="00BD4E50" w:rsidRPr="000057D8" w:rsidRDefault="00162EA6" w:rsidP="00162EA6">
      <w:pPr>
        <w:pStyle w:val="NormalWeb"/>
        <w:spacing w:before="0" w:beforeAutospacing="0" w:after="240" w:afterAutospacing="0"/>
        <w:rPr>
          <w:rFonts w:ascii="Aptos" w:hAnsi="Aptos" w:cs="Calibri"/>
          <w:b/>
          <w:bCs/>
          <w:sz w:val="22"/>
          <w:szCs w:val="22"/>
        </w:rPr>
      </w:pPr>
      <w:r w:rsidRPr="000057D8">
        <w:rPr>
          <w:rFonts w:ascii="Aptos" w:hAnsi="Aptos" w:cs="Calibri"/>
          <w:b/>
          <w:bCs/>
          <w:sz w:val="22"/>
          <w:szCs w:val="22"/>
        </w:rPr>
        <w:t xml:space="preserve">You should </w:t>
      </w:r>
      <w:r w:rsidR="007A5FBF">
        <w:rPr>
          <w:rFonts w:ascii="Aptos" w:hAnsi="Aptos" w:cs="Calibri"/>
          <w:b/>
          <w:bCs/>
          <w:sz w:val="22"/>
          <w:szCs w:val="22"/>
        </w:rPr>
        <w:t>understand</w:t>
      </w:r>
      <w:r w:rsidR="00BD4E50" w:rsidRPr="000057D8">
        <w:rPr>
          <w:rFonts w:ascii="Aptos" w:hAnsi="Aptos" w:cs="Calibri"/>
          <w:b/>
          <w:bCs/>
          <w:sz w:val="22"/>
          <w:szCs w:val="22"/>
        </w:rPr>
        <w:t xml:space="preserve"> </w:t>
      </w:r>
      <w:r w:rsidRPr="000057D8">
        <w:rPr>
          <w:rFonts w:ascii="Aptos" w:hAnsi="Aptos" w:cs="Calibri"/>
          <w:b/>
          <w:bCs/>
          <w:sz w:val="22"/>
          <w:szCs w:val="22"/>
        </w:rPr>
        <w:t>the l</w:t>
      </w:r>
      <w:r w:rsidR="00BD4E50" w:rsidRPr="000057D8">
        <w:rPr>
          <w:rFonts w:ascii="Aptos" w:hAnsi="Aptos" w:cs="Calibri"/>
          <w:b/>
          <w:bCs/>
          <w:sz w:val="22"/>
          <w:szCs w:val="22"/>
        </w:rPr>
        <w:t>imitations</w:t>
      </w:r>
      <w:r w:rsidRPr="000057D8">
        <w:rPr>
          <w:rFonts w:ascii="Aptos" w:hAnsi="Aptos" w:cs="Calibri"/>
          <w:b/>
          <w:bCs/>
          <w:sz w:val="22"/>
          <w:szCs w:val="22"/>
        </w:rPr>
        <w:t xml:space="preserve"> of your measures e.g.</w:t>
      </w:r>
    </w:p>
    <w:p w14:paraId="2D1C6B9C" w14:textId="77777777" w:rsidR="00162EA6" w:rsidRPr="000057D8" w:rsidRDefault="00BD4E50" w:rsidP="00BD4E50">
      <w:pPr>
        <w:pStyle w:val="NormalWeb"/>
        <w:numPr>
          <w:ilvl w:val="0"/>
          <w:numId w:val="22"/>
        </w:numPr>
        <w:spacing w:before="0" w:beforeAutospacing="0" w:after="0" w:afterAutospacing="0"/>
        <w:rPr>
          <w:rFonts w:ascii="Calibri" w:hAnsi="Calibri" w:cs="Calibri"/>
          <w:sz w:val="22"/>
          <w:szCs w:val="22"/>
        </w:rPr>
      </w:pPr>
      <w:r w:rsidRPr="000057D8">
        <w:rPr>
          <w:rFonts w:ascii="Aptos" w:hAnsi="Aptos" w:cs="Calibri"/>
          <w:sz w:val="22"/>
          <w:szCs w:val="22"/>
        </w:rPr>
        <w:t>Feeling Safe vs Being Safe – Does reporting measure perception or reality?</w:t>
      </w:r>
    </w:p>
    <w:p w14:paraId="2299960E" w14:textId="77777777" w:rsidR="00162EA6" w:rsidRPr="000057D8" w:rsidRDefault="00BD4E50" w:rsidP="005D7505">
      <w:pPr>
        <w:pStyle w:val="NormalWeb"/>
        <w:numPr>
          <w:ilvl w:val="1"/>
          <w:numId w:val="22"/>
        </w:numPr>
        <w:spacing w:before="0" w:beforeAutospacing="0" w:after="0" w:afterAutospacing="0"/>
        <w:rPr>
          <w:rFonts w:ascii="Aptos" w:hAnsi="Aptos" w:cs="Calibri"/>
          <w:sz w:val="22"/>
          <w:szCs w:val="22"/>
        </w:rPr>
      </w:pPr>
      <w:r w:rsidRPr="000057D8">
        <w:rPr>
          <w:rFonts w:ascii="Aptos" w:hAnsi="Aptos" w:cs="Calibri"/>
          <w:sz w:val="22"/>
          <w:szCs w:val="22"/>
        </w:rPr>
        <w:t>Setting targets can unintentionally influence what is reported.</w:t>
      </w:r>
    </w:p>
    <w:p w14:paraId="55094E8E" w14:textId="22952433" w:rsidR="00162EA6" w:rsidRPr="000057D8" w:rsidRDefault="00BD4E50" w:rsidP="00BD4E50">
      <w:pPr>
        <w:pStyle w:val="NormalWeb"/>
        <w:numPr>
          <w:ilvl w:val="1"/>
          <w:numId w:val="22"/>
        </w:numPr>
        <w:spacing w:before="0" w:beforeAutospacing="0" w:after="0" w:afterAutospacing="0"/>
        <w:rPr>
          <w:rFonts w:ascii="Aptos" w:hAnsi="Aptos" w:cs="Calibri"/>
          <w:sz w:val="22"/>
          <w:szCs w:val="22"/>
        </w:rPr>
      </w:pPr>
      <w:r w:rsidRPr="000057D8">
        <w:rPr>
          <w:rFonts w:ascii="Aptos" w:hAnsi="Aptos" w:cs="Calibri"/>
          <w:sz w:val="22"/>
          <w:szCs w:val="22"/>
        </w:rPr>
        <w:t xml:space="preserve">Example: A focus on reducing </w:t>
      </w:r>
      <w:r w:rsidR="00B2112F" w:rsidRPr="000057D8">
        <w:rPr>
          <w:rFonts w:ascii="Aptos" w:hAnsi="Aptos" w:cs="Calibri"/>
          <w:sz w:val="22"/>
          <w:szCs w:val="22"/>
        </w:rPr>
        <w:t>‘</w:t>
      </w:r>
      <w:r w:rsidRPr="000057D8">
        <w:rPr>
          <w:rFonts w:ascii="Aptos" w:hAnsi="Aptos" w:cs="Calibri"/>
          <w:sz w:val="22"/>
          <w:szCs w:val="22"/>
        </w:rPr>
        <w:t>incident</w:t>
      </w:r>
      <w:r w:rsidR="00B2112F" w:rsidRPr="000057D8">
        <w:rPr>
          <w:rFonts w:ascii="Aptos" w:hAnsi="Aptos" w:cs="Calibri"/>
          <w:sz w:val="22"/>
          <w:szCs w:val="22"/>
        </w:rPr>
        <w:t>s’</w:t>
      </w:r>
      <w:r w:rsidRPr="000057D8">
        <w:rPr>
          <w:rFonts w:ascii="Aptos" w:hAnsi="Aptos" w:cs="Calibri"/>
          <w:sz w:val="22"/>
          <w:szCs w:val="22"/>
        </w:rPr>
        <w:t xml:space="preserve"> could lead to under-reporting, not improved safety.</w:t>
      </w:r>
    </w:p>
    <w:p w14:paraId="7BF66C19" w14:textId="31B3AD3A" w:rsidR="00BD4E50" w:rsidRPr="000057D8" w:rsidRDefault="00162EA6" w:rsidP="00162EA6">
      <w:pPr>
        <w:pStyle w:val="NormalWeb"/>
        <w:numPr>
          <w:ilvl w:val="0"/>
          <w:numId w:val="22"/>
        </w:numPr>
        <w:spacing w:before="0" w:beforeAutospacing="0" w:after="0" w:afterAutospacing="0"/>
        <w:rPr>
          <w:rFonts w:ascii="Aptos" w:hAnsi="Aptos" w:cs="Calibri"/>
          <w:sz w:val="22"/>
          <w:szCs w:val="22"/>
        </w:rPr>
      </w:pPr>
      <w:r w:rsidRPr="000057D8">
        <w:rPr>
          <w:rFonts w:ascii="Aptos" w:hAnsi="Aptos" w:cs="Calibri"/>
          <w:sz w:val="22"/>
          <w:szCs w:val="22"/>
        </w:rPr>
        <w:t>Be aware of C</w:t>
      </w:r>
      <w:r w:rsidR="00BD4E50" w:rsidRPr="000057D8">
        <w:rPr>
          <w:rFonts w:ascii="Aptos" w:hAnsi="Aptos" w:cs="Calibri"/>
          <w:sz w:val="22"/>
          <w:szCs w:val="22"/>
        </w:rPr>
        <w:t>onfounding Factors in Safety Reporting</w:t>
      </w:r>
    </w:p>
    <w:p w14:paraId="7B1320EA" w14:textId="77777777" w:rsidR="00162EA6" w:rsidRPr="000057D8" w:rsidRDefault="00BD4E50" w:rsidP="00323B3A">
      <w:pPr>
        <w:pStyle w:val="NormalWeb"/>
        <w:numPr>
          <w:ilvl w:val="1"/>
          <w:numId w:val="22"/>
        </w:numPr>
        <w:spacing w:before="0" w:beforeAutospacing="0" w:after="0" w:afterAutospacing="0"/>
        <w:rPr>
          <w:rFonts w:ascii="Aptos" w:hAnsi="Aptos" w:cs="Calibri"/>
          <w:sz w:val="22"/>
          <w:szCs w:val="22"/>
        </w:rPr>
      </w:pPr>
      <w:r w:rsidRPr="000057D8">
        <w:rPr>
          <w:rFonts w:ascii="Aptos" w:hAnsi="Aptos" w:cs="Calibri"/>
          <w:sz w:val="22"/>
          <w:szCs w:val="22"/>
        </w:rPr>
        <w:t>Complex systems mean H&amp;S outcomes are not always directly linked to single factors.</w:t>
      </w:r>
    </w:p>
    <w:p w14:paraId="40486D84" w14:textId="1BEA001D" w:rsidR="00BD4E50" w:rsidRPr="000057D8" w:rsidRDefault="00BD4E50" w:rsidP="00323B3A">
      <w:pPr>
        <w:pStyle w:val="NormalWeb"/>
        <w:numPr>
          <w:ilvl w:val="1"/>
          <w:numId w:val="22"/>
        </w:numPr>
        <w:spacing w:before="0" w:beforeAutospacing="0" w:after="0" w:afterAutospacing="0"/>
        <w:rPr>
          <w:rFonts w:ascii="Aptos" w:hAnsi="Aptos" w:cs="Calibri"/>
          <w:sz w:val="22"/>
          <w:szCs w:val="22"/>
        </w:rPr>
      </w:pPr>
      <w:r w:rsidRPr="000057D8">
        <w:rPr>
          <w:rFonts w:ascii="Aptos" w:hAnsi="Aptos" w:cs="Calibri"/>
          <w:sz w:val="22"/>
          <w:szCs w:val="22"/>
        </w:rPr>
        <w:t>Example: A decrease in injuries may result from underreporting rather than improved safety performance.</w:t>
      </w:r>
    </w:p>
    <w:p w14:paraId="72F3DD7E" w14:textId="6899AD05" w:rsidR="00BD4E50" w:rsidRPr="00C01137" w:rsidRDefault="00BD4E50" w:rsidP="00BD4E50">
      <w:pPr>
        <w:pStyle w:val="NormalWeb"/>
        <w:spacing w:before="0" w:beforeAutospacing="0" w:after="0" w:afterAutospacing="0"/>
      </w:pPr>
    </w:p>
    <w:p w14:paraId="29188FA3" w14:textId="77777777" w:rsidR="00B2112F" w:rsidRDefault="00B2112F" w:rsidP="00305787"/>
    <w:p w14:paraId="4FD0AC29" w14:textId="77777777" w:rsidR="009418A3" w:rsidRDefault="009418A3" w:rsidP="00305787">
      <w:pPr>
        <w:sectPr w:rsidR="009418A3" w:rsidSect="002C0E0D">
          <w:pgSz w:w="11906" w:h="16838" w:code="9"/>
          <w:pgMar w:top="1440" w:right="1080" w:bottom="1440" w:left="1080" w:header="709" w:footer="709" w:gutter="0"/>
          <w:cols w:space="708"/>
          <w:docGrid w:linePitch="360"/>
        </w:sectPr>
      </w:pPr>
    </w:p>
    <w:p w14:paraId="086CC510" w14:textId="5118A181" w:rsidR="00B2112F" w:rsidRPr="00323B11" w:rsidRDefault="00323B11" w:rsidP="00305787">
      <w:pPr>
        <w:rPr>
          <w:b/>
          <w:bCs/>
        </w:rPr>
      </w:pPr>
      <w:r w:rsidRPr="00323B11">
        <w:rPr>
          <w:b/>
          <w:bCs/>
        </w:rPr>
        <w:lastRenderedPageBreak/>
        <w:t>WHS</w:t>
      </w:r>
      <w:r w:rsidR="008B3C55" w:rsidRPr="00323B11">
        <w:rPr>
          <w:b/>
          <w:bCs/>
        </w:rPr>
        <w:t xml:space="preserve"> Governance Reporting:  Assurance &amp; Learning</w:t>
      </w:r>
    </w:p>
    <w:p w14:paraId="6C63536C" w14:textId="25BD0185" w:rsidR="008B3C55" w:rsidRPr="00323B11" w:rsidRDefault="00290AD0" w:rsidP="00305787">
      <w:pPr>
        <w:rPr>
          <w:b/>
          <w:bCs/>
        </w:rPr>
      </w:pPr>
      <w:r>
        <w:rPr>
          <w:b/>
          <w:bCs/>
        </w:rPr>
        <w:t>WHS</w:t>
      </w:r>
      <w:r w:rsidR="00323B11" w:rsidRPr="00783262">
        <w:rPr>
          <w:b/>
          <w:bCs/>
        </w:rPr>
        <w:t xml:space="preserve"> reporting should help </w:t>
      </w:r>
      <w:r w:rsidR="00323B11">
        <w:rPr>
          <w:b/>
          <w:bCs/>
        </w:rPr>
        <w:t>officers</w:t>
      </w:r>
      <w:r w:rsidR="00323B11" w:rsidRPr="00783262">
        <w:rPr>
          <w:b/>
          <w:bCs/>
        </w:rPr>
        <w:t xml:space="preserve"> understand </w:t>
      </w:r>
      <w:r w:rsidR="00323B11">
        <w:rPr>
          <w:b/>
          <w:bCs/>
        </w:rPr>
        <w:t>HSW</w:t>
      </w:r>
      <w:r w:rsidR="00323B11" w:rsidRPr="00783262">
        <w:rPr>
          <w:b/>
          <w:bCs/>
        </w:rPr>
        <w:t xml:space="preserve"> performance and the nature of work</w:t>
      </w:r>
      <w:r w:rsidR="00323B11">
        <w:rPr>
          <w:b/>
          <w:bCs/>
        </w:rPr>
        <w:t xml:space="preserve"> at an enterprise level</w:t>
      </w:r>
      <w:r w:rsidR="00323B11" w:rsidRPr="00783262">
        <w:rPr>
          <w:b/>
          <w:bCs/>
        </w:rPr>
        <w:t>.</w:t>
      </w:r>
    </w:p>
    <w:tbl>
      <w:tblPr>
        <w:tblStyle w:val="TableGrid"/>
        <w:tblW w:w="15304" w:type="dxa"/>
        <w:tblLook w:val="04A0" w:firstRow="1" w:lastRow="0" w:firstColumn="1" w:lastColumn="0" w:noHBand="0" w:noVBand="1"/>
      </w:tblPr>
      <w:tblGrid>
        <w:gridCol w:w="2547"/>
        <w:gridCol w:w="3969"/>
        <w:gridCol w:w="2835"/>
        <w:gridCol w:w="5953"/>
      </w:tblGrid>
      <w:tr w:rsidR="00A21564" w14:paraId="251A3EF5" w14:textId="16AEA469" w:rsidTr="00CF688E">
        <w:tc>
          <w:tcPr>
            <w:tcW w:w="2547" w:type="dxa"/>
          </w:tcPr>
          <w:p w14:paraId="65056CE8" w14:textId="42F8A14D" w:rsidR="00A21564" w:rsidRPr="008B3C55" w:rsidRDefault="00A21564" w:rsidP="00305787">
            <w:pPr>
              <w:rPr>
                <w:b/>
                <w:bCs/>
              </w:rPr>
            </w:pPr>
            <w:r w:rsidRPr="008B3C55">
              <w:rPr>
                <w:b/>
                <w:bCs/>
              </w:rPr>
              <w:t>Type</w:t>
            </w:r>
          </w:p>
        </w:tc>
        <w:tc>
          <w:tcPr>
            <w:tcW w:w="3969" w:type="dxa"/>
          </w:tcPr>
          <w:p w14:paraId="1C2FEB6E" w14:textId="605B6A12" w:rsidR="00A21564" w:rsidRPr="008B3C55" w:rsidRDefault="00A21564" w:rsidP="00305787">
            <w:pPr>
              <w:rPr>
                <w:b/>
                <w:bCs/>
              </w:rPr>
            </w:pPr>
            <w:r w:rsidRPr="008B3C55">
              <w:rPr>
                <w:b/>
                <w:bCs/>
              </w:rPr>
              <w:t>Focus</w:t>
            </w:r>
            <w:r>
              <w:rPr>
                <w:b/>
                <w:bCs/>
              </w:rPr>
              <w:t xml:space="preserve"> Area</w:t>
            </w:r>
          </w:p>
        </w:tc>
        <w:tc>
          <w:tcPr>
            <w:tcW w:w="2835" w:type="dxa"/>
          </w:tcPr>
          <w:p w14:paraId="7567AB0E" w14:textId="54391595" w:rsidR="00A21564" w:rsidRPr="008B3C55" w:rsidRDefault="00A21564" w:rsidP="00305787">
            <w:pPr>
              <w:rPr>
                <w:b/>
                <w:bCs/>
              </w:rPr>
            </w:pPr>
            <w:r w:rsidRPr="008B3C55">
              <w:rPr>
                <w:b/>
                <w:bCs/>
              </w:rPr>
              <w:t>Examples</w:t>
            </w:r>
            <w:r w:rsidR="006C2CCF">
              <w:rPr>
                <w:b/>
                <w:bCs/>
              </w:rPr>
              <w:t xml:space="preserve"> of and for monitoring</w:t>
            </w:r>
          </w:p>
        </w:tc>
        <w:tc>
          <w:tcPr>
            <w:tcW w:w="5953" w:type="dxa"/>
          </w:tcPr>
          <w:p w14:paraId="44E618E6" w14:textId="07F99F79" w:rsidR="00A21564" w:rsidRPr="008B3C55" w:rsidRDefault="00A21564" w:rsidP="00305787">
            <w:pPr>
              <w:rPr>
                <w:b/>
                <w:bCs/>
              </w:rPr>
            </w:pPr>
            <w:r>
              <w:rPr>
                <w:b/>
                <w:bCs/>
              </w:rPr>
              <w:t>Example measures</w:t>
            </w:r>
          </w:p>
        </w:tc>
      </w:tr>
      <w:tr w:rsidR="00A21564" w14:paraId="6392A8B1" w14:textId="4A5617B4" w:rsidTr="00CF688E">
        <w:tc>
          <w:tcPr>
            <w:tcW w:w="2547" w:type="dxa"/>
            <w:vAlign w:val="center"/>
          </w:tcPr>
          <w:p w14:paraId="5B21887C" w14:textId="77777777" w:rsidR="007A5FBF" w:rsidRPr="007A5FBF" w:rsidRDefault="00A21564" w:rsidP="00984C46">
            <w:pPr>
              <w:pStyle w:val="ListParagraph"/>
              <w:numPr>
                <w:ilvl w:val="0"/>
                <w:numId w:val="23"/>
              </w:numPr>
              <w:rPr>
                <w:b/>
                <w:bCs/>
              </w:rPr>
            </w:pPr>
            <w:r w:rsidRPr="007A5FBF">
              <w:rPr>
                <w:b/>
                <w:bCs/>
              </w:rPr>
              <w:t>Assurance</w:t>
            </w:r>
          </w:p>
          <w:p w14:paraId="1C74D1F4" w14:textId="77777777" w:rsidR="007A5FBF" w:rsidRDefault="007A5FBF" w:rsidP="007A5FBF"/>
          <w:p w14:paraId="7AEE150B" w14:textId="0F61227D" w:rsidR="00A21564" w:rsidRDefault="00A21564" w:rsidP="007A5FBF">
            <w:r w:rsidRPr="008B3C55">
              <w:t>Are We Doing What We Committed To</w:t>
            </w:r>
            <w:r>
              <w:t xml:space="preserve"> – is our strategy and vision being implemented</w:t>
            </w:r>
            <w:r w:rsidRPr="008B3C55">
              <w:t>?</w:t>
            </w:r>
          </w:p>
        </w:tc>
        <w:tc>
          <w:tcPr>
            <w:tcW w:w="3969" w:type="dxa"/>
            <w:vAlign w:val="center"/>
          </w:tcPr>
          <w:p w14:paraId="160A9DDF" w14:textId="0DFF9A99" w:rsidR="00A21564" w:rsidRDefault="00A21564" w:rsidP="00984C46">
            <w:pPr>
              <w:pStyle w:val="ListParagraph"/>
              <w:numPr>
                <w:ilvl w:val="0"/>
                <w:numId w:val="24"/>
              </w:numPr>
            </w:pPr>
            <w:r>
              <w:t>Do we have the appropriate policies, frameworks and controls.</w:t>
            </w:r>
          </w:p>
          <w:p w14:paraId="4C91E079" w14:textId="7D40F900" w:rsidR="00A21564" w:rsidRDefault="00A21564" w:rsidP="00984C46">
            <w:pPr>
              <w:pStyle w:val="ListParagraph"/>
              <w:numPr>
                <w:ilvl w:val="0"/>
                <w:numId w:val="24"/>
              </w:numPr>
            </w:pPr>
            <w:r>
              <w:t>Levels of compliance with policies, frameworks and controls.</w:t>
            </w:r>
          </w:p>
          <w:p w14:paraId="227B9F9A" w14:textId="409D6F05" w:rsidR="00A21564" w:rsidRDefault="00A21564" w:rsidP="00984C46">
            <w:pPr>
              <w:pStyle w:val="ListParagraph"/>
              <w:numPr>
                <w:ilvl w:val="0"/>
                <w:numId w:val="24"/>
              </w:numPr>
            </w:pPr>
            <w:r>
              <w:t>Identifies system gaps and poor implementation.</w:t>
            </w:r>
          </w:p>
          <w:p w14:paraId="1AAA313F" w14:textId="1A9689EF" w:rsidR="00086A03" w:rsidRDefault="00FD15FE" w:rsidP="00984C46">
            <w:pPr>
              <w:pStyle w:val="ListParagraph"/>
              <w:numPr>
                <w:ilvl w:val="0"/>
                <w:numId w:val="24"/>
              </w:numPr>
            </w:pPr>
            <w:r>
              <w:t>Officer and s</w:t>
            </w:r>
            <w:r w:rsidR="00086A03">
              <w:t xml:space="preserve">enior </w:t>
            </w:r>
            <w:r>
              <w:t xml:space="preserve">or executive </w:t>
            </w:r>
            <w:r w:rsidR="00086A03">
              <w:t>management engagement in HSW</w:t>
            </w:r>
          </w:p>
        </w:tc>
        <w:tc>
          <w:tcPr>
            <w:tcW w:w="2835" w:type="dxa"/>
            <w:vAlign w:val="center"/>
          </w:tcPr>
          <w:p w14:paraId="33419583" w14:textId="045552DD" w:rsidR="00A21564" w:rsidRDefault="00A21564" w:rsidP="00984C46">
            <w:pPr>
              <w:pStyle w:val="ListParagraph"/>
              <w:numPr>
                <w:ilvl w:val="0"/>
                <w:numId w:val="24"/>
              </w:numPr>
            </w:pPr>
            <w:r>
              <w:t>Compliance audits.</w:t>
            </w:r>
          </w:p>
          <w:p w14:paraId="7611A39E" w14:textId="0F44E231" w:rsidR="00A21564" w:rsidRDefault="00A21564" w:rsidP="00984C46">
            <w:pPr>
              <w:pStyle w:val="ListParagraph"/>
              <w:numPr>
                <w:ilvl w:val="0"/>
                <w:numId w:val="24"/>
              </w:numPr>
            </w:pPr>
            <w:r>
              <w:t>Policy adherence metrics.</w:t>
            </w:r>
          </w:p>
          <w:p w14:paraId="0E30073F" w14:textId="6EAC763E" w:rsidR="00A21564" w:rsidRDefault="00A21564" w:rsidP="00984C46">
            <w:pPr>
              <w:pStyle w:val="ListParagraph"/>
              <w:numPr>
                <w:ilvl w:val="0"/>
                <w:numId w:val="24"/>
              </w:numPr>
            </w:pPr>
            <w:r>
              <w:t>Worker training completion rates.</w:t>
            </w:r>
          </w:p>
        </w:tc>
        <w:tc>
          <w:tcPr>
            <w:tcW w:w="5953" w:type="dxa"/>
            <w:vAlign w:val="center"/>
          </w:tcPr>
          <w:p w14:paraId="7D6496D6" w14:textId="02D93A36" w:rsidR="009314E7" w:rsidRDefault="009314E7" w:rsidP="00984C46">
            <w:pPr>
              <w:pStyle w:val="NormalWeb"/>
              <w:numPr>
                <w:ilvl w:val="0"/>
                <w:numId w:val="24"/>
              </w:numPr>
              <w:spacing w:before="0" w:beforeAutospacing="0" w:after="0" w:afterAutospacing="0"/>
              <w:rPr>
                <w:rFonts w:ascii="Aptos" w:hAnsi="Aptos" w:cs="Calibri"/>
                <w:sz w:val="22"/>
                <w:szCs w:val="22"/>
              </w:rPr>
            </w:pPr>
            <w:r>
              <w:rPr>
                <w:rFonts w:ascii="Aptos" w:hAnsi="Aptos" w:cs="Calibri"/>
                <w:sz w:val="22"/>
                <w:szCs w:val="22"/>
              </w:rPr>
              <w:t>Evidence controls are implemented.</w:t>
            </w:r>
          </w:p>
          <w:p w14:paraId="165D74E8" w14:textId="77C5E163" w:rsidR="0073134D" w:rsidRPr="002A77E6" w:rsidRDefault="0073134D" w:rsidP="00984C46">
            <w:pPr>
              <w:pStyle w:val="NormalWeb"/>
              <w:numPr>
                <w:ilvl w:val="0"/>
                <w:numId w:val="24"/>
              </w:numPr>
              <w:spacing w:before="0" w:beforeAutospacing="0" w:after="0" w:afterAutospacing="0"/>
              <w:rPr>
                <w:rFonts w:ascii="Aptos" w:hAnsi="Aptos" w:cs="Calibri"/>
                <w:sz w:val="22"/>
                <w:szCs w:val="22"/>
              </w:rPr>
            </w:pPr>
            <w:r w:rsidRPr="002A77E6">
              <w:rPr>
                <w:rFonts w:ascii="Aptos" w:hAnsi="Aptos" w:cs="Calibri"/>
                <w:sz w:val="22"/>
                <w:szCs w:val="22"/>
              </w:rPr>
              <w:t>Worker feedback themes from engagement activities.</w:t>
            </w:r>
          </w:p>
          <w:p w14:paraId="75256B57" w14:textId="77777777" w:rsidR="0073134D" w:rsidRDefault="0073134D" w:rsidP="00984C46">
            <w:pPr>
              <w:pStyle w:val="ListParagraph"/>
              <w:numPr>
                <w:ilvl w:val="0"/>
                <w:numId w:val="24"/>
              </w:numPr>
            </w:pPr>
            <w:r>
              <w:t>T</w:t>
            </w:r>
            <w:r w:rsidRPr="002A77E6">
              <w:t>ime taken to implement corrective actions.</w:t>
            </w:r>
          </w:p>
          <w:p w14:paraId="2209E63A" w14:textId="4766F226" w:rsidR="0073134D" w:rsidRDefault="00FD15FE" w:rsidP="00984C46">
            <w:pPr>
              <w:pStyle w:val="ListParagraph"/>
              <w:numPr>
                <w:ilvl w:val="0"/>
                <w:numId w:val="24"/>
              </w:numPr>
            </w:pPr>
            <w:r>
              <w:t>W</w:t>
            </w:r>
            <w:r w:rsidR="0073134D">
              <w:t>orkers who feel confident in identifying workplace hazards.</w:t>
            </w:r>
          </w:p>
          <w:p w14:paraId="63D840A9" w14:textId="64FBAB1F" w:rsidR="00A21564" w:rsidRDefault="00FD15FE" w:rsidP="00FD15FE">
            <w:pPr>
              <w:pStyle w:val="ListParagraph"/>
              <w:numPr>
                <w:ilvl w:val="0"/>
                <w:numId w:val="24"/>
              </w:numPr>
            </w:pPr>
            <w:r>
              <w:t>Officer and senior or executive management</w:t>
            </w:r>
            <w:r w:rsidR="00086A03" w:rsidRPr="00862AD2">
              <w:t xml:space="preserve"> engagement in critical risk reviews.</w:t>
            </w:r>
          </w:p>
        </w:tc>
      </w:tr>
      <w:tr w:rsidR="00A21564" w14:paraId="73D904C8" w14:textId="7A357F4A" w:rsidTr="00CF688E">
        <w:tc>
          <w:tcPr>
            <w:tcW w:w="2547" w:type="dxa"/>
            <w:vAlign w:val="center"/>
          </w:tcPr>
          <w:p w14:paraId="67916891" w14:textId="77777777" w:rsidR="007A5FBF" w:rsidRPr="007A5FBF" w:rsidRDefault="00A21564" w:rsidP="00984C46">
            <w:pPr>
              <w:pStyle w:val="ListParagraph"/>
              <w:numPr>
                <w:ilvl w:val="0"/>
                <w:numId w:val="23"/>
              </w:numPr>
              <w:rPr>
                <w:b/>
                <w:bCs/>
              </w:rPr>
            </w:pPr>
            <w:r w:rsidRPr="007A5FBF">
              <w:rPr>
                <w:b/>
                <w:bCs/>
              </w:rPr>
              <w:t>Assurance</w:t>
            </w:r>
          </w:p>
          <w:p w14:paraId="5EA042D6" w14:textId="77777777" w:rsidR="007A5FBF" w:rsidRDefault="007A5FBF" w:rsidP="007A5FBF"/>
          <w:p w14:paraId="0C5E7FF8" w14:textId="037474C2" w:rsidR="00A21564" w:rsidRDefault="00A21564" w:rsidP="007A5FBF">
            <w:r w:rsidRPr="008B3C55">
              <w:t>Is It Working</w:t>
            </w:r>
            <w:r w:rsidR="009314E7">
              <w:t xml:space="preserve"> and how do we know</w:t>
            </w:r>
            <w:r w:rsidRPr="008B3C55">
              <w:t>?</w:t>
            </w:r>
          </w:p>
        </w:tc>
        <w:tc>
          <w:tcPr>
            <w:tcW w:w="3969" w:type="dxa"/>
            <w:vAlign w:val="center"/>
          </w:tcPr>
          <w:p w14:paraId="4B3CD47B" w14:textId="3D1C2687" w:rsidR="00A21564" w:rsidRDefault="00A21564" w:rsidP="00984C46">
            <w:pPr>
              <w:pStyle w:val="ListParagraph"/>
              <w:numPr>
                <w:ilvl w:val="0"/>
                <w:numId w:val="25"/>
              </w:numPr>
            </w:pPr>
            <w:r>
              <w:t>Are H&amp;S systems and controls effective.</w:t>
            </w:r>
          </w:p>
          <w:p w14:paraId="77B05A02" w14:textId="11FA5660" w:rsidR="00A21564" w:rsidRDefault="00A21564" w:rsidP="00984C46">
            <w:pPr>
              <w:pStyle w:val="ListParagraph"/>
              <w:numPr>
                <w:ilvl w:val="0"/>
                <w:numId w:val="25"/>
              </w:numPr>
            </w:pPr>
            <w:r>
              <w:t xml:space="preserve">Incorporates three </w:t>
            </w:r>
            <w:r w:rsidR="00CF688E">
              <w:t>sources</w:t>
            </w:r>
            <w:r>
              <w:t xml:space="preserve"> of</w:t>
            </w:r>
            <w:r w:rsidR="00CF688E">
              <w:t xml:space="preserve"> knowledge and</w:t>
            </w:r>
            <w:r>
              <w:t xml:space="preserve"> </w:t>
            </w:r>
            <w:r w:rsidR="00CF688E">
              <w:t>assessment</w:t>
            </w:r>
            <w:r>
              <w:t>:</w:t>
            </w:r>
          </w:p>
          <w:p w14:paraId="4379EB13" w14:textId="08D6BA33" w:rsidR="00A21564" w:rsidRDefault="00CF688E" w:rsidP="00984C46">
            <w:pPr>
              <w:pStyle w:val="ListParagraph"/>
              <w:numPr>
                <w:ilvl w:val="1"/>
                <w:numId w:val="26"/>
              </w:numPr>
            </w:pPr>
            <w:r w:rsidRPr="00CF688E">
              <w:rPr>
                <w:b/>
                <w:bCs/>
              </w:rPr>
              <w:t>Self-Assessment</w:t>
            </w:r>
            <w:r>
              <w:rPr>
                <w:b/>
                <w:bCs/>
              </w:rPr>
              <w:t xml:space="preserve"> </w:t>
            </w:r>
            <w:r w:rsidRPr="00CF688E">
              <w:t xml:space="preserve">– </w:t>
            </w:r>
            <w:r>
              <w:t xml:space="preserve">including from </w:t>
            </w:r>
            <w:r w:rsidR="005008C8">
              <w:t xml:space="preserve">workers and </w:t>
            </w:r>
            <w:r w:rsidR="00A21564">
              <w:t>managers</w:t>
            </w:r>
            <w:r w:rsidR="005008C8">
              <w:t xml:space="preserve"> delivering products or services</w:t>
            </w:r>
            <w:r w:rsidR="00A21564">
              <w:t>.</w:t>
            </w:r>
          </w:p>
          <w:p w14:paraId="373C048E" w14:textId="515DF784" w:rsidR="00A21564" w:rsidRDefault="008E0129" w:rsidP="00984C46">
            <w:pPr>
              <w:pStyle w:val="ListParagraph"/>
              <w:numPr>
                <w:ilvl w:val="1"/>
                <w:numId w:val="26"/>
              </w:numPr>
            </w:pPr>
            <w:r w:rsidRPr="008E0129">
              <w:rPr>
                <w:b/>
                <w:bCs/>
              </w:rPr>
              <w:t>Technical Expertise</w:t>
            </w:r>
            <w:r w:rsidR="00A21564">
              <w:t xml:space="preserve"> –</w:t>
            </w:r>
            <w:r>
              <w:t xml:space="preserve"> from internal teams </w:t>
            </w:r>
            <w:r w:rsidR="00FD15FE">
              <w:t>such as</w:t>
            </w:r>
            <w:r>
              <w:t xml:space="preserve"> health</w:t>
            </w:r>
            <w:r w:rsidR="00B202F5">
              <w:t xml:space="preserve"> &amp;</w:t>
            </w:r>
            <w:r>
              <w:t xml:space="preserve"> safety</w:t>
            </w:r>
            <w:r w:rsidR="00FD15FE">
              <w:t>, risk</w:t>
            </w:r>
            <w:r>
              <w:t xml:space="preserve"> and operations</w:t>
            </w:r>
          </w:p>
          <w:p w14:paraId="206015A0" w14:textId="42765175" w:rsidR="00A21564" w:rsidRDefault="008E0129" w:rsidP="00984C46">
            <w:pPr>
              <w:pStyle w:val="ListParagraph"/>
              <w:numPr>
                <w:ilvl w:val="1"/>
                <w:numId w:val="26"/>
              </w:numPr>
            </w:pPr>
            <w:r w:rsidRPr="008E0129">
              <w:rPr>
                <w:b/>
                <w:bCs/>
              </w:rPr>
              <w:t>External</w:t>
            </w:r>
            <w:r w:rsidR="00A21564">
              <w:t xml:space="preserve"> – </w:t>
            </w:r>
            <w:r w:rsidR="009314E7">
              <w:t>Independent and objective assurance</w:t>
            </w:r>
            <w:r w:rsidR="00A21564">
              <w:t>.</w:t>
            </w:r>
          </w:p>
        </w:tc>
        <w:tc>
          <w:tcPr>
            <w:tcW w:w="2835" w:type="dxa"/>
            <w:vAlign w:val="center"/>
          </w:tcPr>
          <w:p w14:paraId="689FADE9" w14:textId="0E62D02B" w:rsidR="00A21564" w:rsidRDefault="00A21564" w:rsidP="00984C46">
            <w:pPr>
              <w:pStyle w:val="ListParagraph"/>
              <w:numPr>
                <w:ilvl w:val="0"/>
                <w:numId w:val="27"/>
              </w:numPr>
            </w:pPr>
            <w:r>
              <w:t>Effectiveness reviews of risk controls.</w:t>
            </w:r>
          </w:p>
          <w:p w14:paraId="50DFBED3" w14:textId="0CC2408D" w:rsidR="00A21564" w:rsidRDefault="00A21564" w:rsidP="00984C46">
            <w:pPr>
              <w:pStyle w:val="ListParagraph"/>
              <w:numPr>
                <w:ilvl w:val="0"/>
                <w:numId w:val="27"/>
              </w:numPr>
            </w:pPr>
            <w:r>
              <w:t>Audit results with corrective actions.</w:t>
            </w:r>
          </w:p>
          <w:p w14:paraId="20BADFE1" w14:textId="69EC8590" w:rsidR="00086A03" w:rsidRDefault="00086A03" w:rsidP="00984C46">
            <w:pPr>
              <w:pStyle w:val="ListParagraph"/>
              <w:numPr>
                <w:ilvl w:val="0"/>
                <w:numId w:val="27"/>
              </w:numPr>
            </w:pPr>
            <w:r>
              <w:t>Evidence of workplace culture.</w:t>
            </w:r>
          </w:p>
          <w:p w14:paraId="212A6E5F" w14:textId="30F421A1" w:rsidR="00A21564" w:rsidRDefault="00A21564" w:rsidP="00984C46">
            <w:pPr>
              <w:pStyle w:val="ListParagraph"/>
              <w:numPr>
                <w:ilvl w:val="0"/>
                <w:numId w:val="27"/>
              </w:numPr>
            </w:pPr>
            <w:r>
              <w:t>Worker feedback on system usability.</w:t>
            </w:r>
          </w:p>
        </w:tc>
        <w:tc>
          <w:tcPr>
            <w:tcW w:w="5953" w:type="dxa"/>
            <w:vAlign w:val="center"/>
          </w:tcPr>
          <w:p w14:paraId="1A58F19A" w14:textId="77777777" w:rsidR="0073134D" w:rsidRPr="002A77E6" w:rsidRDefault="0073134D" w:rsidP="00984C46">
            <w:pPr>
              <w:pStyle w:val="NormalWeb"/>
              <w:numPr>
                <w:ilvl w:val="0"/>
                <w:numId w:val="27"/>
              </w:numPr>
              <w:spacing w:before="0" w:beforeAutospacing="0" w:after="0" w:afterAutospacing="0"/>
              <w:rPr>
                <w:rFonts w:ascii="Aptos" w:hAnsi="Aptos" w:cs="Calibri"/>
                <w:sz w:val="22"/>
                <w:szCs w:val="22"/>
              </w:rPr>
            </w:pPr>
            <w:r w:rsidRPr="002A77E6">
              <w:rPr>
                <w:rFonts w:ascii="Aptos" w:hAnsi="Aptos" w:cs="Calibri"/>
                <w:sz w:val="22"/>
                <w:szCs w:val="22"/>
              </w:rPr>
              <w:t>Incident trends linked to work complexity.</w:t>
            </w:r>
          </w:p>
          <w:p w14:paraId="0B8B7401" w14:textId="4732F058" w:rsidR="0073134D" w:rsidRDefault="00FD15FE" w:rsidP="00984C46">
            <w:pPr>
              <w:pStyle w:val="NormalWeb"/>
              <w:numPr>
                <w:ilvl w:val="0"/>
                <w:numId w:val="27"/>
              </w:numPr>
              <w:spacing w:before="0" w:beforeAutospacing="0" w:after="0" w:afterAutospacing="0"/>
              <w:rPr>
                <w:rFonts w:ascii="Aptos" w:hAnsi="Aptos" w:cs="Calibri"/>
                <w:sz w:val="22"/>
                <w:szCs w:val="22"/>
              </w:rPr>
            </w:pPr>
            <w:r>
              <w:rPr>
                <w:rFonts w:ascii="Aptos" w:hAnsi="Aptos" w:cs="Calibri"/>
                <w:sz w:val="22"/>
                <w:szCs w:val="22"/>
              </w:rPr>
              <w:t>W</w:t>
            </w:r>
            <w:r w:rsidR="0073134D" w:rsidRPr="002A77E6">
              <w:rPr>
                <w:rFonts w:ascii="Aptos" w:hAnsi="Aptos" w:cs="Calibri"/>
                <w:sz w:val="22"/>
                <w:szCs w:val="22"/>
              </w:rPr>
              <w:t>ork process deviations identified.</w:t>
            </w:r>
          </w:p>
          <w:p w14:paraId="42F86B1E" w14:textId="5A672FBA" w:rsidR="00086A03" w:rsidRDefault="00FD15FE" w:rsidP="00984C46">
            <w:pPr>
              <w:pStyle w:val="ListParagraph"/>
              <w:numPr>
                <w:ilvl w:val="0"/>
                <w:numId w:val="27"/>
              </w:numPr>
            </w:pPr>
            <w:r>
              <w:t>C</w:t>
            </w:r>
            <w:r w:rsidR="00086A03">
              <w:t>ritical risk controls tested and verified as effective.</w:t>
            </w:r>
          </w:p>
          <w:p w14:paraId="68C4B97C" w14:textId="2B683E6F" w:rsidR="00086A03" w:rsidRPr="00086A03" w:rsidRDefault="00FD15FE" w:rsidP="00984C46">
            <w:pPr>
              <w:pStyle w:val="ListParagraph"/>
              <w:numPr>
                <w:ilvl w:val="0"/>
                <w:numId w:val="27"/>
              </w:numPr>
            </w:pPr>
            <w:r>
              <w:t>S</w:t>
            </w:r>
            <w:r w:rsidR="00086A03">
              <w:t>erious incidents with detailed causal analysis.</w:t>
            </w:r>
          </w:p>
          <w:p w14:paraId="0EF79768" w14:textId="77777777" w:rsidR="0073134D" w:rsidRDefault="0073134D" w:rsidP="00984C46">
            <w:pPr>
              <w:pStyle w:val="ListParagraph"/>
              <w:numPr>
                <w:ilvl w:val="0"/>
                <w:numId w:val="27"/>
              </w:numPr>
            </w:pPr>
            <w:r w:rsidRPr="002A77E6">
              <w:t>Worker-reported usability of safety systems.</w:t>
            </w:r>
          </w:p>
          <w:p w14:paraId="00005682" w14:textId="31C19A23" w:rsidR="0073134D" w:rsidRDefault="00FD15FE" w:rsidP="00984C46">
            <w:pPr>
              <w:pStyle w:val="ListParagraph"/>
              <w:numPr>
                <w:ilvl w:val="0"/>
                <w:numId w:val="27"/>
              </w:numPr>
            </w:pPr>
            <w:r>
              <w:t>R</w:t>
            </w:r>
            <w:r w:rsidR="0073134D">
              <w:t xml:space="preserve">eported hazards </w:t>
            </w:r>
            <w:r>
              <w:t>and</w:t>
            </w:r>
            <w:r w:rsidR="0073134D">
              <w:t xml:space="preserve"> </w:t>
            </w:r>
            <w:r>
              <w:t xml:space="preserve">completed </w:t>
            </w:r>
            <w:r w:rsidR="0073134D">
              <w:t>corrective actions.</w:t>
            </w:r>
          </w:p>
          <w:p w14:paraId="7161294C" w14:textId="0F8CC5C3" w:rsidR="00086A03" w:rsidRDefault="00FD15FE" w:rsidP="00984C46">
            <w:pPr>
              <w:pStyle w:val="ListParagraph"/>
              <w:numPr>
                <w:ilvl w:val="0"/>
                <w:numId w:val="27"/>
              </w:numPr>
            </w:pPr>
            <w:r>
              <w:t>A</w:t>
            </w:r>
            <w:r w:rsidR="0073134D">
              <w:t xml:space="preserve">nalysis of </w:t>
            </w:r>
            <w:r w:rsidR="009314E7">
              <w:t>near misses</w:t>
            </w:r>
            <w:r w:rsidR="0073134D">
              <w:t xml:space="preserve"> vs. incidents</w:t>
            </w:r>
            <w:r>
              <w:t xml:space="preserve"> and trends</w:t>
            </w:r>
            <w:r w:rsidR="0073134D">
              <w:t>.</w:t>
            </w:r>
          </w:p>
        </w:tc>
      </w:tr>
      <w:tr w:rsidR="00A21564" w14:paraId="01910BCD" w14:textId="377A4CB5" w:rsidTr="00CF688E">
        <w:tc>
          <w:tcPr>
            <w:tcW w:w="2547" w:type="dxa"/>
            <w:vAlign w:val="center"/>
          </w:tcPr>
          <w:p w14:paraId="3194E9FE" w14:textId="77777777" w:rsidR="007A5FBF" w:rsidRPr="007A5FBF" w:rsidRDefault="00A21564" w:rsidP="00984C46">
            <w:pPr>
              <w:pStyle w:val="ListParagraph"/>
              <w:numPr>
                <w:ilvl w:val="0"/>
                <w:numId w:val="30"/>
              </w:numPr>
              <w:rPr>
                <w:b/>
                <w:bCs/>
              </w:rPr>
            </w:pPr>
            <w:r w:rsidRPr="007A5FBF">
              <w:rPr>
                <w:b/>
                <w:bCs/>
              </w:rPr>
              <w:t xml:space="preserve">Learning </w:t>
            </w:r>
          </w:p>
          <w:p w14:paraId="402AF4FC" w14:textId="77777777" w:rsidR="007A5FBF" w:rsidRDefault="007A5FBF" w:rsidP="007A5FBF"/>
          <w:p w14:paraId="6799576D" w14:textId="38E18EAA" w:rsidR="00A21564" w:rsidRDefault="00A21564" w:rsidP="007A5FBF">
            <w:r w:rsidRPr="008B3C55">
              <w:t>What Can We Improve?</w:t>
            </w:r>
          </w:p>
        </w:tc>
        <w:tc>
          <w:tcPr>
            <w:tcW w:w="3969" w:type="dxa"/>
            <w:vAlign w:val="center"/>
          </w:tcPr>
          <w:p w14:paraId="49C8E36C" w14:textId="61036471" w:rsidR="00A21564" w:rsidRDefault="00A21564" w:rsidP="00984C46">
            <w:pPr>
              <w:pStyle w:val="ListParagraph"/>
              <w:numPr>
                <w:ilvl w:val="0"/>
                <w:numId w:val="31"/>
              </w:numPr>
            </w:pPr>
            <w:r>
              <w:t>Research and evidence driven approach to improving HS</w:t>
            </w:r>
            <w:r w:rsidR="00FD15FE">
              <w:t>W</w:t>
            </w:r>
            <w:r>
              <w:t>.</w:t>
            </w:r>
          </w:p>
          <w:p w14:paraId="1224F3B0" w14:textId="3EC40463" w:rsidR="00A21564" w:rsidRDefault="00A21564" w:rsidP="00984C46">
            <w:pPr>
              <w:pStyle w:val="ListParagraph"/>
              <w:numPr>
                <w:ilvl w:val="0"/>
                <w:numId w:val="31"/>
              </w:numPr>
            </w:pPr>
            <w:r>
              <w:t>Consider how work is done.</w:t>
            </w:r>
          </w:p>
          <w:p w14:paraId="00BBEAA9" w14:textId="1870D56C" w:rsidR="00086A03" w:rsidRDefault="00FD15FE" w:rsidP="00984C46">
            <w:pPr>
              <w:pStyle w:val="ListParagraph"/>
              <w:numPr>
                <w:ilvl w:val="0"/>
                <w:numId w:val="31"/>
              </w:numPr>
            </w:pPr>
            <w:r>
              <w:t>Officer and senior or executive management</w:t>
            </w:r>
            <w:r w:rsidR="00086A03">
              <w:t xml:space="preserve"> involvement in HSW</w:t>
            </w:r>
          </w:p>
        </w:tc>
        <w:tc>
          <w:tcPr>
            <w:tcW w:w="2835" w:type="dxa"/>
            <w:vAlign w:val="center"/>
          </w:tcPr>
          <w:p w14:paraId="0BEC2918" w14:textId="44CC519C" w:rsidR="00A21564" w:rsidRDefault="00E41B8B" w:rsidP="00984C46">
            <w:pPr>
              <w:pStyle w:val="ListParagraph"/>
              <w:numPr>
                <w:ilvl w:val="0"/>
                <w:numId w:val="31"/>
              </w:numPr>
            </w:pPr>
            <w:r>
              <w:t>Lessons from i</w:t>
            </w:r>
            <w:r w:rsidR="00A21564">
              <w:t>ncident investigations and causal analysis.</w:t>
            </w:r>
          </w:p>
          <w:p w14:paraId="7DF1243A" w14:textId="48FC7C19" w:rsidR="00A21564" w:rsidRDefault="00A21564" w:rsidP="00984C46">
            <w:pPr>
              <w:pStyle w:val="ListParagraph"/>
              <w:numPr>
                <w:ilvl w:val="0"/>
                <w:numId w:val="31"/>
              </w:numPr>
            </w:pPr>
            <w:r>
              <w:t>Themes from worker engagement and feedback.</w:t>
            </w:r>
          </w:p>
          <w:p w14:paraId="442604C0" w14:textId="09B67708" w:rsidR="00A21564" w:rsidRDefault="00A21564" w:rsidP="00984C46">
            <w:pPr>
              <w:pStyle w:val="ListParagraph"/>
              <w:numPr>
                <w:ilvl w:val="0"/>
                <w:numId w:val="31"/>
              </w:numPr>
            </w:pPr>
            <w:r>
              <w:t>Review of policies and their impact.</w:t>
            </w:r>
          </w:p>
        </w:tc>
        <w:tc>
          <w:tcPr>
            <w:tcW w:w="5953" w:type="dxa"/>
            <w:vAlign w:val="center"/>
          </w:tcPr>
          <w:p w14:paraId="33401907" w14:textId="6262CD10" w:rsidR="0073134D" w:rsidRDefault="00E41B8B" w:rsidP="00984C46">
            <w:pPr>
              <w:pStyle w:val="ListParagraph"/>
              <w:numPr>
                <w:ilvl w:val="0"/>
                <w:numId w:val="31"/>
              </w:numPr>
            </w:pPr>
            <w:r>
              <w:t xml:space="preserve">Impact of </w:t>
            </w:r>
            <w:r w:rsidR="0073134D">
              <w:t xml:space="preserve">system changes </w:t>
            </w:r>
            <w:r>
              <w:t xml:space="preserve">– those </w:t>
            </w:r>
            <w:r w:rsidR="0073134D">
              <w:t xml:space="preserve">that </w:t>
            </w:r>
            <w:r>
              <w:t xml:space="preserve">have effectively </w:t>
            </w:r>
            <w:r w:rsidR="0073134D">
              <w:t>reduced repeat issues</w:t>
            </w:r>
            <w:r>
              <w:t xml:space="preserve"> and those that haven’t</w:t>
            </w:r>
            <w:r w:rsidR="0073134D">
              <w:t>.</w:t>
            </w:r>
          </w:p>
          <w:p w14:paraId="0E5C71EF" w14:textId="77777777" w:rsidR="00A21564" w:rsidRDefault="0073134D" w:rsidP="00984C46">
            <w:pPr>
              <w:pStyle w:val="ListParagraph"/>
              <w:numPr>
                <w:ilvl w:val="0"/>
                <w:numId w:val="31"/>
              </w:numPr>
            </w:pPr>
            <w:r>
              <w:t>Time to close out corrective actions from minor incidents.</w:t>
            </w:r>
          </w:p>
          <w:p w14:paraId="69DD9E95" w14:textId="7DF1D918" w:rsidR="0073134D" w:rsidRDefault="00763022" w:rsidP="00984C46">
            <w:pPr>
              <w:pStyle w:val="ListParagraph"/>
              <w:numPr>
                <w:ilvl w:val="0"/>
                <w:numId w:val="31"/>
              </w:numPr>
            </w:pPr>
            <w:r>
              <w:t>Manner of e</w:t>
            </w:r>
            <w:r w:rsidR="0073134D">
              <w:t>ngagement in critical risk reviews.</w:t>
            </w:r>
          </w:p>
        </w:tc>
      </w:tr>
    </w:tbl>
    <w:p w14:paraId="2068ACE3" w14:textId="77777777" w:rsidR="008B3C55" w:rsidRDefault="008B3C55" w:rsidP="00305787"/>
    <w:p w14:paraId="0CF70603" w14:textId="77777777" w:rsidR="00BE4133" w:rsidRDefault="00BE4133">
      <w:pPr>
        <w:rPr>
          <w:rFonts w:ascii="Aptos" w:hAnsi="Aptos" w:cs="Calibri"/>
          <w:b/>
          <w:bCs/>
        </w:rPr>
        <w:sectPr w:rsidR="00BE4133" w:rsidSect="00862AD2">
          <w:pgSz w:w="16838" w:h="11906" w:orient="landscape" w:code="9"/>
          <w:pgMar w:top="720" w:right="720" w:bottom="720" w:left="720" w:header="709" w:footer="709" w:gutter="0"/>
          <w:cols w:space="708"/>
          <w:docGrid w:linePitch="360"/>
        </w:sectPr>
      </w:pPr>
    </w:p>
    <w:p w14:paraId="7918EBBB" w14:textId="5C350057" w:rsidR="00763022" w:rsidRPr="007E53A5" w:rsidRDefault="00194E0A" w:rsidP="007E53A5">
      <w:pPr>
        <w:rPr>
          <w:rFonts w:ascii="Aptos" w:eastAsia="Times New Roman" w:hAnsi="Aptos" w:cs="Calibri"/>
          <w:b/>
          <w:bCs/>
          <w:kern w:val="0"/>
          <w:sz w:val="24"/>
          <w:szCs w:val="24"/>
          <w:lang w:eastAsia="en-NZ"/>
          <w14:ligatures w14:val="none"/>
        </w:rPr>
      </w:pPr>
      <w:r>
        <w:rPr>
          <w:rFonts w:ascii="Aptos" w:hAnsi="Aptos" w:cs="Calibri"/>
          <w:b/>
          <w:bCs/>
        </w:rPr>
        <w:lastRenderedPageBreak/>
        <w:t xml:space="preserve">WHS Reporting for </w:t>
      </w:r>
      <w:r w:rsidR="00776725">
        <w:rPr>
          <w:rFonts w:ascii="Aptos" w:hAnsi="Aptos" w:cs="Calibri"/>
          <w:b/>
          <w:bCs/>
        </w:rPr>
        <w:t>Senior or Executive</w:t>
      </w:r>
      <w:r w:rsidR="00763022">
        <w:rPr>
          <w:rFonts w:ascii="Aptos" w:hAnsi="Aptos" w:cs="Calibri"/>
          <w:b/>
          <w:bCs/>
        </w:rPr>
        <w:t xml:space="preserve"> </w:t>
      </w:r>
      <w:r w:rsidR="00776725">
        <w:rPr>
          <w:rFonts w:ascii="Aptos" w:hAnsi="Aptos" w:cs="Calibri"/>
          <w:b/>
          <w:bCs/>
        </w:rPr>
        <w:t>M</w:t>
      </w:r>
      <w:r w:rsidR="00763022">
        <w:rPr>
          <w:rFonts w:ascii="Aptos" w:hAnsi="Aptos" w:cs="Calibri"/>
          <w:b/>
          <w:bCs/>
        </w:rPr>
        <w:t>anagers</w:t>
      </w:r>
      <w:r>
        <w:rPr>
          <w:rFonts w:ascii="Aptos" w:hAnsi="Aptos" w:cs="Calibri"/>
          <w:b/>
          <w:bCs/>
        </w:rPr>
        <w:t xml:space="preserve"> </w:t>
      </w:r>
      <w:r w:rsidR="00763022">
        <w:rPr>
          <w:rFonts w:ascii="Aptos" w:hAnsi="Aptos" w:cs="Calibri"/>
          <w:b/>
          <w:bCs/>
        </w:rPr>
        <w:t>– the management function:</w:t>
      </w:r>
    </w:p>
    <w:p w14:paraId="4D48C082" w14:textId="25F56B57" w:rsidR="00194E0A" w:rsidRDefault="00194E0A" w:rsidP="00194E0A">
      <w:pPr>
        <w:rPr>
          <w:i/>
          <w:iCs/>
        </w:rPr>
      </w:pPr>
      <w:r w:rsidRPr="007B0C50">
        <w:rPr>
          <w:i/>
          <w:iCs/>
          <w:sz w:val="20"/>
          <w:szCs w:val="20"/>
        </w:rPr>
        <w:t xml:space="preserve">Note: Where an organisation does not have an independent board, the senior </w:t>
      </w:r>
      <w:r>
        <w:rPr>
          <w:i/>
          <w:iCs/>
          <w:sz w:val="20"/>
          <w:szCs w:val="20"/>
        </w:rPr>
        <w:t>or executive managers</w:t>
      </w:r>
      <w:r w:rsidRPr="007B0C50">
        <w:rPr>
          <w:i/>
          <w:iCs/>
          <w:sz w:val="20"/>
          <w:szCs w:val="20"/>
        </w:rPr>
        <w:t xml:space="preserve"> will undertake both governance and management roles.  In doing so, these two functions must be kept separate and the management of the business must not be allowed to unduly influence the governance of the business, and vice versa</w:t>
      </w:r>
      <w:r w:rsidRPr="007E53A5">
        <w:rPr>
          <w:i/>
          <w:iCs/>
        </w:rPr>
        <w:t xml:space="preserve">. </w:t>
      </w:r>
    </w:p>
    <w:p w14:paraId="4C18552D" w14:textId="06EB0995" w:rsidR="00763022" w:rsidRPr="00340D43" w:rsidRDefault="00990641" w:rsidP="00763022">
      <w:pPr>
        <w:pStyle w:val="NormalWeb"/>
        <w:spacing w:after="240"/>
        <w:rPr>
          <w:rFonts w:ascii="Aptos" w:hAnsi="Aptos" w:cs="Calibri"/>
          <w:sz w:val="22"/>
          <w:szCs w:val="22"/>
        </w:rPr>
      </w:pPr>
      <w:r>
        <w:rPr>
          <w:rFonts w:ascii="Aptos" w:hAnsi="Aptos" w:cs="Calibri"/>
          <w:sz w:val="22"/>
          <w:szCs w:val="22"/>
        </w:rPr>
        <w:t xml:space="preserve">Foster an environment where </w:t>
      </w:r>
      <w:r w:rsidR="00763022" w:rsidRPr="00340D43">
        <w:rPr>
          <w:rFonts w:ascii="Aptos" w:hAnsi="Aptos" w:cs="Calibri"/>
          <w:sz w:val="22"/>
          <w:szCs w:val="22"/>
        </w:rPr>
        <w:t>HS</w:t>
      </w:r>
      <w:r w:rsidR="00E41B8B">
        <w:rPr>
          <w:rFonts w:ascii="Aptos" w:hAnsi="Aptos" w:cs="Calibri"/>
          <w:sz w:val="22"/>
          <w:szCs w:val="22"/>
        </w:rPr>
        <w:t>W</w:t>
      </w:r>
      <w:r w:rsidR="00763022" w:rsidRPr="00340D43">
        <w:rPr>
          <w:rFonts w:ascii="Aptos" w:hAnsi="Aptos" w:cs="Calibri"/>
          <w:sz w:val="22"/>
          <w:szCs w:val="22"/>
        </w:rPr>
        <w:t xml:space="preserve"> reporting </w:t>
      </w:r>
      <w:r>
        <w:rPr>
          <w:rFonts w:ascii="Aptos" w:hAnsi="Aptos" w:cs="Calibri"/>
          <w:sz w:val="22"/>
          <w:szCs w:val="22"/>
        </w:rPr>
        <w:t>is</w:t>
      </w:r>
      <w:r w:rsidR="00763022" w:rsidRPr="00340D43">
        <w:rPr>
          <w:rFonts w:ascii="Aptos" w:hAnsi="Aptos" w:cs="Calibri"/>
          <w:sz w:val="22"/>
          <w:szCs w:val="22"/>
        </w:rPr>
        <w:t xml:space="preserve"> transparen</w:t>
      </w:r>
      <w:r>
        <w:rPr>
          <w:rFonts w:ascii="Aptos" w:hAnsi="Aptos" w:cs="Calibri"/>
          <w:sz w:val="22"/>
          <w:szCs w:val="22"/>
        </w:rPr>
        <w:t>t</w:t>
      </w:r>
      <w:r w:rsidR="00763022" w:rsidRPr="00340D43">
        <w:rPr>
          <w:rFonts w:ascii="Aptos" w:hAnsi="Aptos" w:cs="Calibri"/>
          <w:sz w:val="22"/>
          <w:szCs w:val="22"/>
        </w:rPr>
        <w:t xml:space="preserve">, </w:t>
      </w:r>
      <w:r w:rsidR="00BD1DC1">
        <w:rPr>
          <w:rFonts w:ascii="Aptos" w:hAnsi="Aptos" w:cs="Calibri"/>
          <w:sz w:val="22"/>
          <w:szCs w:val="22"/>
        </w:rPr>
        <w:t>describes the realities of the work</w:t>
      </w:r>
      <w:r w:rsidR="00763022" w:rsidRPr="00340D43">
        <w:rPr>
          <w:rFonts w:ascii="Aptos" w:hAnsi="Aptos" w:cs="Calibri"/>
          <w:sz w:val="22"/>
          <w:szCs w:val="22"/>
        </w:rPr>
        <w:t xml:space="preserve"> and</w:t>
      </w:r>
      <w:r w:rsidR="00CC248F">
        <w:rPr>
          <w:rFonts w:ascii="Aptos" w:hAnsi="Aptos" w:cs="Calibri"/>
          <w:sz w:val="22"/>
          <w:szCs w:val="22"/>
        </w:rPr>
        <w:t xml:space="preserve"> facilitates</w:t>
      </w:r>
      <w:r w:rsidR="00763022" w:rsidRPr="00340D43">
        <w:rPr>
          <w:rFonts w:ascii="Aptos" w:hAnsi="Aptos" w:cs="Calibri"/>
          <w:sz w:val="22"/>
          <w:szCs w:val="22"/>
        </w:rPr>
        <w:t xml:space="preserve"> honest conversations. </w:t>
      </w:r>
      <w:r w:rsidR="005A661C">
        <w:rPr>
          <w:rFonts w:ascii="Aptos" w:hAnsi="Aptos" w:cs="Calibri"/>
          <w:sz w:val="22"/>
          <w:szCs w:val="22"/>
        </w:rPr>
        <w:t>Senior or executive managers</w:t>
      </w:r>
      <w:r w:rsidR="00763022" w:rsidRPr="00340D43">
        <w:rPr>
          <w:rFonts w:ascii="Aptos" w:hAnsi="Aptos" w:cs="Calibri"/>
          <w:sz w:val="22"/>
          <w:szCs w:val="22"/>
        </w:rPr>
        <w:t xml:space="preserve"> must </w:t>
      </w:r>
      <w:r w:rsidR="005A661C">
        <w:rPr>
          <w:rFonts w:ascii="Aptos" w:hAnsi="Aptos" w:cs="Calibri"/>
          <w:sz w:val="22"/>
          <w:szCs w:val="22"/>
        </w:rPr>
        <w:t>support</w:t>
      </w:r>
      <w:r w:rsidR="00763022" w:rsidRPr="00340D43">
        <w:rPr>
          <w:rFonts w:ascii="Aptos" w:hAnsi="Aptos" w:cs="Calibri"/>
          <w:sz w:val="22"/>
          <w:szCs w:val="22"/>
        </w:rPr>
        <w:t xml:space="preserve"> an environment where safety challenges </w:t>
      </w:r>
      <w:r w:rsidR="005A661C">
        <w:rPr>
          <w:rFonts w:ascii="Aptos" w:hAnsi="Aptos" w:cs="Calibri"/>
          <w:sz w:val="22"/>
          <w:szCs w:val="22"/>
        </w:rPr>
        <w:t>are</w:t>
      </w:r>
      <w:r w:rsidR="00763022" w:rsidRPr="00340D43">
        <w:rPr>
          <w:rFonts w:ascii="Aptos" w:hAnsi="Aptos" w:cs="Calibri"/>
          <w:sz w:val="22"/>
          <w:szCs w:val="22"/>
        </w:rPr>
        <w:t xml:space="preserve"> openly discussed without fear of repercussions.</w:t>
      </w:r>
    </w:p>
    <w:p w14:paraId="52F1DBC6" w14:textId="17BC44A3" w:rsidR="00E3776A" w:rsidRDefault="00325597" w:rsidP="00325597">
      <w:r>
        <w:t xml:space="preserve">The purpose </w:t>
      </w:r>
      <w:r w:rsidR="00E41B8B">
        <w:t>of HSW</w:t>
      </w:r>
      <w:r>
        <w:t xml:space="preserve"> reports</w:t>
      </w:r>
      <w:r w:rsidR="00E3776A">
        <w:t xml:space="preserve"> for this audience</w:t>
      </w:r>
      <w:r>
        <w:t xml:space="preserve"> is to enable the senior or executive </w:t>
      </w:r>
      <w:r w:rsidR="00E41B8B">
        <w:t>management</w:t>
      </w:r>
      <w:r>
        <w:t xml:space="preserve"> team to </w:t>
      </w:r>
      <w:r w:rsidR="00E41B8B">
        <w:t xml:space="preserve">both </w:t>
      </w:r>
      <w:r>
        <w:t>see the organisation as a whole</w:t>
      </w:r>
      <w:r w:rsidR="00E41B8B">
        <w:t xml:space="preserve"> and </w:t>
      </w:r>
      <w:r>
        <w:t>to also drill down into business units to look for inconsistencies and issues and to ensure these are directly managed.</w:t>
      </w:r>
    </w:p>
    <w:p w14:paraId="529E86A4" w14:textId="673C7553" w:rsidR="00325597" w:rsidRDefault="00E3776A" w:rsidP="00325597">
      <w:r>
        <w:t xml:space="preserve">This better equips senior or executive </w:t>
      </w:r>
      <w:r w:rsidR="00E41B8B">
        <w:t>management</w:t>
      </w:r>
      <w:r>
        <w:t xml:space="preserve"> to take ownership and responsibility for monitoring and improving performance in their are</w:t>
      </w:r>
      <w:r w:rsidR="00E41B8B">
        <w:t>as</w:t>
      </w:r>
      <w:r>
        <w:t xml:space="preserve"> of the organisation.</w:t>
      </w:r>
      <w:r w:rsidR="00325597">
        <w:t xml:space="preserve"> </w:t>
      </w:r>
    </w:p>
    <w:p w14:paraId="5C887D15" w14:textId="35D101BB" w:rsidR="00763022" w:rsidRPr="00340D43" w:rsidRDefault="00763022" w:rsidP="00763022">
      <w:pPr>
        <w:pStyle w:val="NormalWeb"/>
        <w:spacing w:after="240"/>
        <w:rPr>
          <w:rFonts w:ascii="Aptos" w:hAnsi="Aptos" w:cs="Calibri"/>
          <w:sz w:val="22"/>
          <w:szCs w:val="22"/>
        </w:rPr>
      </w:pPr>
      <w:r w:rsidRPr="00340D43">
        <w:rPr>
          <w:rFonts w:ascii="Aptos" w:hAnsi="Aptos" w:cs="Calibri"/>
          <w:sz w:val="22"/>
          <w:szCs w:val="22"/>
        </w:rPr>
        <w:t xml:space="preserve">The Key Principles for </w:t>
      </w:r>
      <w:r w:rsidR="009E55D4" w:rsidRPr="00340D43">
        <w:rPr>
          <w:rFonts w:ascii="Aptos" w:hAnsi="Aptos" w:cs="Calibri"/>
          <w:sz w:val="22"/>
          <w:szCs w:val="22"/>
        </w:rPr>
        <w:t xml:space="preserve">senior </w:t>
      </w:r>
      <w:r w:rsidR="00340D43" w:rsidRPr="00340D43">
        <w:rPr>
          <w:rFonts w:ascii="Aptos" w:hAnsi="Aptos" w:cs="Calibri"/>
          <w:sz w:val="22"/>
          <w:szCs w:val="22"/>
        </w:rPr>
        <w:t xml:space="preserve">or executive </w:t>
      </w:r>
      <w:r w:rsidR="009E55D4" w:rsidRPr="00340D43">
        <w:rPr>
          <w:rFonts w:ascii="Aptos" w:hAnsi="Aptos" w:cs="Calibri"/>
          <w:sz w:val="22"/>
          <w:szCs w:val="22"/>
        </w:rPr>
        <w:t>managers</w:t>
      </w:r>
      <w:r w:rsidRPr="00340D43">
        <w:rPr>
          <w:rFonts w:ascii="Aptos" w:hAnsi="Aptos" w:cs="Calibri"/>
          <w:sz w:val="22"/>
          <w:szCs w:val="22"/>
        </w:rPr>
        <w:t xml:space="preserve"> while engaging with HS</w:t>
      </w:r>
      <w:r w:rsidR="00E41B8B">
        <w:rPr>
          <w:rFonts w:ascii="Aptos" w:hAnsi="Aptos" w:cs="Calibri"/>
          <w:sz w:val="22"/>
          <w:szCs w:val="22"/>
        </w:rPr>
        <w:t>W</w:t>
      </w:r>
      <w:r w:rsidRPr="00340D43">
        <w:rPr>
          <w:rFonts w:ascii="Aptos" w:hAnsi="Aptos" w:cs="Calibri"/>
          <w:sz w:val="22"/>
          <w:szCs w:val="22"/>
        </w:rPr>
        <w:t xml:space="preserve"> reports:</w:t>
      </w:r>
    </w:p>
    <w:p w14:paraId="4F43F336" w14:textId="6BA1A34C" w:rsidR="009E55D4" w:rsidRPr="00990641" w:rsidRDefault="00990641" w:rsidP="00763022">
      <w:pPr>
        <w:pStyle w:val="NormalWeb"/>
        <w:numPr>
          <w:ilvl w:val="0"/>
          <w:numId w:val="19"/>
        </w:numPr>
        <w:spacing w:before="0" w:beforeAutospacing="0" w:after="240" w:afterAutospacing="0"/>
        <w:rPr>
          <w:rFonts w:ascii="Aptos" w:hAnsi="Aptos" w:cs="Calibri"/>
          <w:sz w:val="22"/>
          <w:szCs w:val="22"/>
        </w:rPr>
      </w:pPr>
      <w:r>
        <w:rPr>
          <w:rFonts w:ascii="Aptos" w:hAnsi="Aptos" w:cs="Calibri"/>
          <w:sz w:val="22"/>
          <w:szCs w:val="22"/>
        </w:rPr>
        <w:t xml:space="preserve">Be active in response to reporting, identifying areas to </w:t>
      </w:r>
      <w:r w:rsidR="00482B65" w:rsidRPr="00990641">
        <w:rPr>
          <w:rFonts w:ascii="Aptos" w:hAnsi="Aptos" w:cs="Calibri"/>
          <w:sz w:val="22"/>
          <w:szCs w:val="22"/>
        </w:rPr>
        <w:t>d</w:t>
      </w:r>
      <w:r w:rsidR="009E55D4" w:rsidRPr="00990641">
        <w:rPr>
          <w:rFonts w:ascii="Aptos" w:hAnsi="Aptos" w:cs="Calibri"/>
          <w:sz w:val="22"/>
          <w:szCs w:val="22"/>
        </w:rPr>
        <w:t>rill down into the operation</w:t>
      </w:r>
      <w:r>
        <w:rPr>
          <w:rFonts w:ascii="Aptos" w:hAnsi="Aptos" w:cs="Calibri"/>
          <w:sz w:val="22"/>
          <w:szCs w:val="22"/>
        </w:rPr>
        <w:t>s to improve understanding</w:t>
      </w:r>
      <w:r w:rsidR="009E55D4" w:rsidRPr="00990641">
        <w:rPr>
          <w:rFonts w:ascii="Aptos" w:hAnsi="Aptos" w:cs="Calibri"/>
          <w:sz w:val="22"/>
          <w:szCs w:val="22"/>
        </w:rPr>
        <w:t>.</w:t>
      </w:r>
    </w:p>
    <w:p w14:paraId="7B337162" w14:textId="57E30A60" w:rsidR="00763022" w:rsidRPr="00340D43" w:rsidRDefault="00F10B23" w:rsidP="00763022">
      <w:pPr>
        <w:pStyle w:val="NormalWeb"/>
        <w:numPr>
          <w:ilvl w:val="0"/>
          <w:numId w:val="19"/>
        </w:numPr>
        <w:spacing w:before="0" w:beforeAutospacing="0" w:after="240" w:afterAutospacing="0"/>
        <w:rPr>
          <w:rFonts w:ascii="Aptos" w:hAnsi="Aptos" w:cs="Calibri"/>
          <w:sz w:val="22"/>
          <w:szCs w:val="22"/>
        </w:rPr>
      </w:pPr>
      <w:r>
        <w:rPr>
          <w:rFonts w:ascii="Aptos" w:hAnsi="Aptos" w:cs="Calibri"/>
          <w:sz w:val="22"/>
          <w:szCs w:val="22"/>
        </w:rPr>
        <w:t>Identify and use</w:t>
      </w:r>
      <w:r w:rsidR="00356A03">
        <w:rPr>
          <w:rFonts w:ascii="Aptos" w:hAnsi="Aptos" w:cs="Calibri"/>
          <w:sz w:val="22"/>
          <w:szCs w:val="22"/>
        </w:rPr>
        <w:t xml:space="preserve"> both</w:t>
      </w:r>
      <w:r>
        <w:rPr>
          <w:rFonts w:ascii="Aptos" w:hAnsi="Aptos" w:cs="Calibri"/>
          <w:sz w:val="22"/>
          <w:szCs w:val="22"/>
        </w:rPr>
        <w:t xml:space="preserve"> technical</w:t>
      </w:r>
      <w:r w:rsidR="00356A03">
        <w:rPr>
          <w:rFonts w:ascii="Aptos" w:hAnsi="Aptos" w:cs="Calibri"/>
          <w:sz w:val="22"/>
          <w:szCs w:val="22"/>
        </w:rPr>
        <w:t xml:space="preserve"> and operational</w:t>
      </w:r>
      <w:r>
        <w:rPr>
          <w:rFonts w:ascii="Aptos" w:hAnsi="Aptos" w:cs="Calibri"/>
          <w:sz w:val="22"/>
          <w:szCs w:val="22"/>
        </w:rPr>
        <w:t xml:space="preserve"> expertise to assist you with </w:t>
      </w:r>
      <w:r w:rsidR="00763022" w:rsidRPr="00340D43">
        <w:rPr>
          <w:rFonts w:ascii="Aptos" w:hAnsi="Aptos" w:cs="Calibri"/>
          <w:sz w:val="22"/>
          <w:szCs w:val="22"/>
        </w:rPr>
        <w:t>interpret</w:t>
      </w:r>
      <w:r>
        <w:rPr>
          <w:rFonts w:ascii="Aptos" w:hAnsi="Aptos" w:cs="Calibri"/>
          <w:sz w:val="22"/>
          <w:szCs w:val="22"/>
        </w:rPr>
        <w:t>ing</w:t>
      </w:r>
      <w:r w:rsidR="00763022" w:rsidRPr="00340D43">
        <w:rPr>
          <w:rFonts w:ascii="Aptos" w:hAnsi="Aptos" w:cs="Calibri"/>
          <w:sz w:val="22"/>
          <w:szCs w:val="22"/>
        </w:rPr>
        <w:t xml:space="preserve"> HS</w:t>
      </w:r>
      <w:r w:rsidR="00E41B8B">
        <w:rPr>
          <w:rFonts w:ascii="Aptos" w:hAnsi="Aptos" w:cs="Calibri"/>
          <w:sz w:val="22"/>
          <w:szCs w:val="22"/>
        </w:rPr>
        <w:t>W</w:t>
      </w:r>
      <w:r w:rsidR="00763022" w:rsidRPr="00340D43">
        <w:rPr>
          <w:rFonts w:ascii="Aptos" w:hAnsi="Aptos" w:cs="Calibri"/>
          <w:sz w:val="22"/>
          <w:szCs w:val="22"/>
        </w:rPr>
        <w:t xml:space="preserve"> information</w:t>
      </w:r>
      <w:r w:rsidR="00356A03">
        <w:rPr>
          <w:rFonts w:ascii="Aptos" w:hAnsi="Aptos" w:cs="Calibri"/>
          <w:sz w:val="22"/>
          <w:szCs w:val="22"/>
        </w:rPr>
        <w:t xml:space="preserve"> and context</w:t>
      </w:r>
      <w:r w:rsidR="00763022" w:rsidRPr="00340D43">
        <w:rPr>
          <w:rFonts w:ascii="Aptos" w:hAnsi="Aptos" w:cs="Calibri"/>
          <w:sz w:val="22"/>
          <w:szCs w:val="22"/>
        </w:rPr>
        <w:t xml:space="preserve"> effectively.</w:t>
      </w:r>
    </w:p>
    <w:p w14:paraId="7F91A5DF" w14:textId="49F00EDF" w:rsidR="00763022" w:rsidRPr="00340D43" w:rsidRDefault="00A40969" w:rsidP="00763022">
      <w:pPr>
        <w:pStyle w:val="NormalWeb"/>
        <w:numPr>
          <w:ilvl w:val="0"/>
          <w:numId w:val="19"/>
        </w:numPr>
        <w:spacing w:before="0" w:beforeAutospacing="0" w:after="240" w:afterAutospacing="0"/>
        <w:rPr>
          <w:rFonts w:ascii="Aptos" w:hAnsi="Aptos" w:cs="Calibri"/>
          <w:sz w:val="22"/>
          <w:szCs w:val="22"/>
        </w:rPr>
      </w:pPr>
      <w:r>
        <w:rPr>
          <w:rFonts w:ascii="Aptos" w:hAnsi="Aptos" w:cs="Calibri"/>
          <w:sz w:val="22"/>
          <w:szCs w:val="22"/>
        </w:rPr>
        <w:t>Understand the assumptions made within the report</w:t>
      </w:r>
      <w:r w:rsidR="00E41B8B">
        <w:rPr>
          <w:rFonts w:ascii="Aptos" w:hAnsi="Aptos" w:cs="Calibri"/>
          <w:sz w:val="22"/>
          <w:szCs w:val="22"/>
        </w:rPr>
        <w:t>s</w:t>
      </w:r>
      <w:r>
        <w:rPr>
          <w:rFonts w:ascii="Aptos" w:hAnsi="Aptos" w:cs="Calibri"/>
          <w:sz w:val="22"/>
          <w:szCs w:val="22"/>
        </w:rPr>
        <w:t xml:space="preserve"> and be actively interested in the narrative behind the indicators.</w:t>
      </w:r>
    </w:p>
    <w:p w14:paraId="11956429" w14:textId="55AE16C3" w:rsidR="00763022" w:rsidRPr="00340D43" w:rsidRDefault="00E41B8B" w:rsidP="00763022">
      <w:pPr>
        <w:pStyle w:val="NormalWeb"/>
        <w:numPr>
          <w:ilvl w:val="0"/>
          <w:numId w:val="19"/>
        </w:numPr>
        <w:spacing w:before="0" w:beforeAutospacing="0" w:after="240" w:afterAutospacing="0"/>
        <w:rPr>
          <w:rFonts w:ascii="Aptos" w:hAnsi="Aptos" w:cs="Calibri"/>
          <w:sz w:val="22"/>
          <w:szCs w:val="22"/>
        </w:rPr>
      </w:pPr>
      <w:r>
        <w:rPr>
          <w:rFonts w:ascii="Aptos" w:hAnsi="Aptos" w:cs="Calibri"/>
          <w:sz w:val="22"/>
          <w:szCs w:val="22"/>
        </w:rPr>
        <w:t>U</w:t>
      </w:r>
      <w:r w:rsidR="00F56768">
        <w:rPr>
          <w:rFonts w:ascii="Aptos" w:hAnsi="Aptos" w:cs="Calibri"/>
          <w:sz w:val="22"/>
          <w:szCs w:val="22"/>
        </w:rPr>
        <w:t xml:space="preserve">nderstand risk </w:t>
      </w:r>
      <w:r>
        <w:rPr>
          <w:rFonts w:ascii="Aptos" w:hAnsi="Aptos" w:cs="Calibri"/>
          <w:sz w:val="22"/>
          <w:szCs w:val="22"/>
        </w:rPr>
        <w:t xml:space="preserve">and response </w:t>
      </w:r>
      <w:r w:rsidR="00F56768">
        <w:rPr>
          <w:rFonts w:ascii="Aptos" w:hAnsi="Aptos" w:cs="Calibri"/>
          <w:sz w:val="22"/>
          <w:szCs w:val="22"/>
        </w:rPr>
        <w:t xml:space="preserve">– distinguish between </w:t>
      </w:r>
      <w:r w:rsidR="00B2798A">
        <w:rPr>
          <w:rFonts w:ascii="Aptos" w:hAnsi="Aptos" w:cs="Calibri"/>
          <w:sz w:val="22"/>
          <w:szCs w:val="22"/>
        </w:rPr>
        <w:t xml:space="preserve">risks associated with </w:t>
      </w:r>
      <w:r w:rsidR="00F56768">
        <w:rPr>
          <w:rFonts w:ascii="Aptos" w:hAnsi="Aptos" w:cs="Calibri"/>
          <w:sz w:val="22"/>
          <w:szCs w:val="22"/>
        </w:rPr>
        <w:t>more frequent, low impact events</w:t>
      </w:r>
      <w:r w:rsidR="00BD3578">
        <w:rPr>
          <w:rFonts w:ascii="Aptos" w:hAnsi="Aptos" w:cs="Calibri"/>
          <w:sz w:val="22"/>
          <w:szCs w:val="22"/>
        </w:rPr>
        <w:t>,</w:t>
      </w:r>
      <w:r w:rsidR="00F56768">
        <w:rPr>
          <w:rFonts w:ascii="Aptos" w:hAnsi="Aptos" w:cs="Calibri"/>
          <w:sz w:val="22"/>
          <w:szCs w:val="22"/>
        </w:rPr>
        <w:t xml:space="preserve"> which line management should be empowered to respond to</w:t>
      </w:r>
      <w:r w:rsidR="00BD3578">
        <w:rPr>
          <w:rFonts w:ascii="Aptos" w:hAnsi="Aptos" w:cs="Calibri"/>
          <w:sz w:val="22"/>
          <w:szCs w:val="22"/>
        </w:rPr>
        <w:t xml:space="preserve"> -</w:t>
      </w:r>
      <w:r w:rsidR="00F56768">
        <w:rPr>
          <w:rFonts w:ascii="Aptos" w:hAnsi="Aptos" w:cs="Calibri"/>
          <w:sz w:val="22"/>
          <w:szCs w:val="22"/>
        </w:rPr>
        <w:t xml:space="preserve"> and the</w:t>
      </w:r>
      <w:r w:rsidR="00B2798A">
        <w:rPr>
          <w:rFonts w:ascii="Aptos" w:hAnsi="Aptos" w:cs="Calibri"/>
          <w:sz w:val="22"/>
          <w:szCs w:val="22"/>
        </w:rPr>
        <w:t xml:space="preserve"> risk</w:t>
      </w:r>
      <w:r w:rsidR="00290AD0">
        <w:rPr>
          <w:rFonts w:ascii="Aptos" w:hAnsi="Aptos" w:cs="Calibri"/>
          <w:sz w:val="22"/>
          <w:szCs w:val="22"/>
        </w:rPr>
        <w:t>s</w:t>
      </w:r>
      <w:r w:rsidR="00B2798A">
        <w:rPr>
          <w:rFonts w:ascii="Aptos" w:hAnsi="Aptos" w:cs="Calibri"/>
          <w:sz w:val="22"/>
          <w:szCs w:val="22"/>
        </w:rPr>
        <w:t xml:space="preserve"> from</w:t>
      </w:r>
      <w:r w:rsidR="00F56768">
        <w:rPr>
          <w:rFonts w:ascii="Aptos" w:hAnsi="Aptos" w:cs="Calibri"/>
          <w:sz w:val="22"/>
          <w:szCs w:val="22"/>
        </w:rPr>
        <w:t xml:space="preserve"> less frequent, high impact event</w:t>
      </w:r>
      <w:r w:rsidR="00B2798A">
        <w:rPr>
          <w:rFonts w:ascii="Aptos" w:hAnsi="Aptos" w:cs="Calibri"/>
          <w:sz w:val="22"/>
          <w:szCs w:val="22"/>
        </w:rPr>
        <w:t>s</w:t>
      </w:r>
      <w:r w:rsidR="00F56768">
        <w:rPr>
          <w:rFonts w:ascii="Aptos" w:hAnsi="Aptos" w:cs="Calibri"/>
          <w:sz w:val="22"/>
          <w:szCs w:val="22"/>
        </w:rPr>
        <w:t xml:space="preserve"> which ha</w:t>
      </w:r>
      <w:r w:rsidR="00290AD0">
        <w:rPr>
          <w:rFonts w:ascii="Aptos" w:hAnsi="Aptos" w:cs="Calibri"/>
          <w:sz w:val="22"/>
          <w:szCs w:val="22"/>
        </w:rPr>
        <w:t>ve</w:t>
      </w:r>
      <w:r w:rsidR="00F56768">
        <w:rPr>
          <w:rFonts w:ascii="Aptos" w:hAnsi="Aptos" w:cs="Calibri"/>
          <w:sz w:val="22"/>
          <w:szCs w:val="22"/>
        </w:rPr>
        <w:t xml:space="preserve"> the potential to, or did, significant</w:t>
      </w:r>
      <w:r w:rsidR="00BD3578">
        <w:rPr>
          <w:rFonts w:ascii="Aptos" w:hAnsi="Aptos" w:cs="Calibri"/>
          <w:sz w:val="22"/>
          <w:szCs w:val="22"/>
        </w:rPr>
        <w:t>ly</w:t>
      </w:r>
      <w:r w:rsidR="00F56768">
        <w:rPr>
          <w:rFonts w:ascii="Aptos" w:hAnsi="Aptos" w:cs="Calibri"/>
          <w:sz w:val="22"/>
          <w:szCs w:val="22"/>
        </w:rPr>
        <w:t xml:space="preserve"> injure o</w:t>
      </w:r>
      <w:r w:rsidR="00BD3578">
        <w:rPr>
          <w:rFonts w:ascii="Aptos" w:hAnsi="Aptos" w:cs="Calibri"/>
          <w:sz w:val="22"/>
          <w:szCs w:val="22"/>
        </w:rPr>
        <w:t>r</w:t>
      </w:r>
      <w:r w:rsidR="00F56768">
        <w:rPr>
          <w:rFonts w:ascii="Aptos" w:hAnsi="Aptos" w:cs="Calibri"/>
          <w:sz w:val="22"/>
          <w:szCs w:val="22"/>
        </w:rPr>
        <w:t xml:space="preserve"> kill</w:t>
      </w:r>
      <w:r w:rsidR="00763022" w:rsidRPr="00340D43">
        <w:rPr>
          <w:rFonts w:ascii="Aptos" w:hAnsi="Aptos" w:cs="Calibri"/>
          <w:sz w:val="22"/>
          <w:szCs w:val="22"/>
        </w:rPr>
        <w:t>.</w:t>
      </w:r>
    </w:p>
    <w:p w14:paraId="2C97F13B" w14:textId="77777777" w:rsidR="009418A3" w:rsidRDefault="009418A3" w:rsidP="00763022"/>
    <w:p w14:paraId="5A1EA25A" w14:textId="77777777" w:rsidR="009418A3" w:rsidRDefault="009418A3" w:rsidP="00763022">
      <w:pPr>
        <w:sectPr w:rsidR="009418A3" w:rsidSect="002C0E0D">
          <w:pgSz w:w="11906" w:h="16838" w:code="9"/>
          <w:pgMar w:top="1440" w:right="1080" w:bottom="1440" w:left="1080" w:header="709" w:footer="709" w:gutter="0"/>
          <w:cols w:space="708"/>
          <w:docGrid w:linePitch="360"/>
        </w:sectPr>
      </w:pPr>
    </w:p>
    <w:p w14:paraId="248FB29B" w14:textId="3CB98249" w:rsidR="00763022" w:rsidRDefault="00763022" w:rsidP="00763022">
      <w:pPr>
        <w:rPr>
          <w:b/>
          <w:bCs/>
        </w:rPr>
      </w:pPr>
      <w:r w:rsidRPr="00A737DB">
        <w:rPr>
          <w:b/>
          <w:bCs/>
        </w:rPr>
        <w:lastRenderedPageBreak/>
        <w:t xml:space="preserve">Reporting for </w:t>
      </w:r>
      <w:r w:rsidR="00194E0A">
        <w:rPr>
          <w:rFonts w:ascii="Aptos" w:hAnsi="Aptos" w:cs="Calibri"/>
          <w:b/>
          <w:bCs/>
        </w:rPr>
        <w:t>Senior or Executive Managers – the management function</w:t>
      </w:r>
      <w:r w:rsidRPr="00A737DB">
        <w:rPr>
          <w:b/>
          <w:bCs/>
        </w:rPr>
        <w:t>: What Matters? </w:t>
      </w:r>
    </w:p>
    <w:p w14:paraId="37C3A6C5" w14:textId="1207A5AA" w:rsidR="00763022" w:rsidRDefault="00290AD0" w:rsidP="00763022">
      <w:pPr>
        <w:rPr>
          <w:b/>
          <w:bCs/>
        </w:rPr>
      </w:pPr>
      <w:r>
        <w:rPr>
          <w:b/>
          <w:bCs/>
        </w:rPr>
        <w:t>WHS</w:t>
      </w:r>
      <w:r w:rsidR="00763022" w:rsidRPr="00783262">
        <w:rPr>
          <w:b/>
          <w:bCs/>
        </w:rPr>
        <w:t xml:space="preserve"> reporting should help </w:t>
      </w:r>
      <w:r w:rsidR="00323B11">
        <w:rPr>
          <w:b/>
          <w:bCs/>
        </w:rPr>
        <w:t>senior and executive managers</w:t>
      </w:r>
      <w:r w:rsidR="00763022" w:rsidRPr="00783262">
        <w:rPr>
          <w:b/>
          <w:bCs/>
        </w:rPr>
        <w:t xml:space="preserve"> understand </w:t>
      </w:r>
      <w:r w:rsidR="00323B11">
        <w:rPr>
          <w:b/>
          <w:bCs/>
        </w:rPr>
        <w:t>HSW</w:t>
      </w:r>
      <w:r w:rsidR="00763022" w:rsidRPr="00783262">
        <w:rPr>
          <w:b/>
          <w:bCs/>
        </w:rPr>
        <w:t xml:space="preserve"> performance and the nature of work</w:t>
      </w:r>
      <w:r w:rsidR="00323B11">
        <w:rPr>
          <w:b/>
          <w:bCs/>
        </w:rPr>
        <w:t xml:space="preserve"> at enterprise and business unit levels</w:t>
      </w:r>
      <w:r w:rsidR="00763022" w:rsidRPr="00783262">
        <w:rPr>
          <w:b/>
          <w:bCs/>
        </w:rPr>
        <w:t>.</w:t>
      </w:r>
    </w:p>
    <w:tbl>
      <w:tblPr>
        <w:tblStyle w:val="TableGrid"/>
        <w:tblW w:w="15588" w:type="dxa"/>
        <w:tblLook w:val="04A0" w:firstRow="1" w:lastRow="0" w:firstColumn="1" w:lastColumn="0" w:noHBand="0" w:noVBand="1"/>
      </w:tblPr>
      <w:tblGrid>
        <w:gridCol w:w="3397"/>
        <w:gridCol w:w="3969"/>
        <w:gridCol w:w="3686"/>
        <w:gridCol w:w="4536"/>
      </w:tblGrid>
      <w:tr w:rsidR="00763022" w14:paraId="64695B5F" w14:textId="77777777" w:rsidTr="00EB39FA">
        <w:tc>
          <w:tcPr>
            <w:tcW w:w="3397" w:type="dxa"/>
          </w:tcPr>
          <w:p w14:paraId="67E1B1D3" w14:textId="77777777" w:rsidR="00763022" w:rsidRDefault="00763022" w:rsidP="00791CF5">
            <w:pPr>
              <w:rPr>
                <w:b/>
                <w:bCs/>
              </w:rPr>
            </w:pPr>
            <w:r>
              <w:rPr>
                <w:b/>
                <w:bCs/>
              </w:rPr>
              <w:t>Topic</w:t>
            </w:r>
          </w:p>
        </w:tc>
        <w:tc>
          <w:tcPr>
            <w:tcW w:w="3969" w:type="dxa"/>
          </w:tcPr>
          <w:p w14:paraId="586FD8D2" w14:textId="77777777" w:rsidR="00763022" w:rsidRDefault="00763022" w:rsidP="00791CF5">
            <w:pPr>
              <w:rPr>
                <w:b/>
                <w:bCs/>
              </w:rPr>
            </w:pPr>
            <w:r>
              <w:rPr>
                <w:b/>
                <w:bCs/>
              </w:rPr>
              <w:t>Focus Area</w:t>
            </w:r>
          </w:p>
        </w:tc>
        <w:tc>
          <w:tcPr>
            <w:tcW w:w="3686" w:type="dxa"/>
          </w:tcPr>
          <w:p w14:paraId="55DDE314" w14:textId="77777777" w:rsidR="00763022" w:rsidRDefault="00763022" w:rsidP="00791CF5">
            <w:pPr>
              <w:rPr>
                <w:b/>
                <w:bCs/>
              </w:rPr>
            </w:pPr>
            <w:r>
              <w:rPr>
                <w:b/>
                <w:bCs/>
              </w:rPr>
              <w:t>Example of and for monitoring</w:t>
            </w:r>
          </w:p>
        </w:tc>
        <w:tc>
          <w:tcPr>
            <w:tcW w:w="4536" w:type="dxa"/>
          </w:tcPr>
          <w:p w14:paraId="3C5D5A98" w14:textId="77777777" w:rsidR="00763022" w:rsidRDefault="00763022" w:rsidP="00791CF5">
            <w:pPr>
              <w:rPr>
                <w:b/>
                <w:bCs/>
              </w:rPr>
            </w:pPr>
            <w:r>
              <w:rPr>
                <w:b/>
                <w:bCs/>
              </w:rPr>
              <w:t>Example Measures</w:t>
            </w:r>
          </w:p>
        </w:tc>
      </w:tr>
      <w:tr w:rsidR="00763022" w14:paraId="37A9253C" w14:textId="77777777" w:rsidTr="002A42C2">
        <w:tc>
          <w:tcPr>
            <w:tcW w:w="3397" w:type="dxa"/>
            <w:vAlign w:val="center"/>
          </w:tcPr>
          <w:p w14:paraId="38E349C4" w14:textId="77777777" w:rsidR="00763022" w:rsidRPr="002A42C2" w:rsidRDefault="00763022" w:rsidP="002A42C2">
            <w:pPr>
              <w:pStyle w:val="ListParagraph"/>
              <w:numPr>
                <w:ilvl w:val="0"/>
                <w:numId w:val="11"/>
              </w:numPr>
              <w:spacing w:after="160"/>
              <w:rPr>
                <w:rFonts w:cs="Calibri"/>
                <w:b/>
                <w:bCs/>
              </w:rPr>
            </w:pPr>
            <w:r w:rsidRPr="002A42C2">
              <w:rPr>
                <w:rFonts w:cs="Calibri"/>
                <w:b/>
                <w:bCs/>
              </w:rPr>
              <w:t>Understanding Work as Done</w:t>
            </w:r>
          </w:p>
          <w:p w14:paraId="0291C085" w14:textId="77777777" w:rsidR="00763022" w:rsidRPr="002A42C2" w:rsidRDefault="00763022" w:rsidP="002A42C2">
            <w:r w:rsidRPr="002A42C2">
              <w:t>H&amp;S systems should reflect how work actually happens, not just how it is intended to happen.</w:t>
            </w:r>
          </w:p>
        </w:tc>
        <w:tc>
          <w:tcPr>
            <w:tcW w:w="3969" w:type="dxa"/>
            <w:vAlign w:val="center"/>
          </w:tcPr>
          <w:p w14:paraId="2C935967" w14:textId="77777777" w:rsidR="00763022" w:rsidRPr="002A42C2" w:rsidRDefault="00763022" w:rsidP="002A42C2">
            <w:pPr>
              <w:pStyle w:val="NormalWeb"/>
              <w:numPr>
                <w:ilvl w:val="0"/>
                <w:numId w:val="12"/>
              </w:numPr>
              <w:spacing w:before="0" w:beforeAutospacing="0" w:after="0" w:afterAutospacing="0"/>
              <w:rPr>
                <w:rFonts w:asciiTheme="minorHAnsi" w:hAnsiTheme="minorHAnsi" w:cs="Calibri"/>
                <w:sz w:val="22"/>
                <w:szCs w:val="22"/>
              </w:rPr>
            </w:pPr>
            <w:r w:rsidRPr="002A42C2">
              <w:rPr>
                <w:rFonts w:asciiTheme="minorHAnsi" w:hAnsiTheme="minorHAnsi" w:cs="Calibri"/>
                <w:sz w:val="22"/>
                <w:szCs w:val="22"/>
              </w:rPr>
              <w:t>Worker engagement and feedback.</w:t>
            </w:r>
          </w:p>
          <w:p w14:paraId="2BD988E8" w14:textId="77777777" w:rsidR="00763022" w:rsidRPr="002A42C2" w:rsidRDefault="00763022" w:rsidP="002A42C2">
            <w:pPr>
              <w:pStyle w:val="NormalWeb"/>
              <w:numPr>
                <w:ilvl w:val="0"/>
                <w:numId w:val="12"/>
              </w:numPr>
              <w:spacing w:before="0" w:beforeAutospacing="0" w:after="0" w:afterAutospacing="0"/>
              <w:rPr>
                <w:rFonts w:asciiTheme="minorHAnsi" w:hAnsiTheme="minorHAnsi" w:cs="Calibri"/>
                <w:sz w:val="22"/>
                <w:szCs w:val="22"/>
              </w:rPr>
            </w:pPr>
            <w:r w:rsidRPr="002A42C2">
              <w:rPr>
                <w:rFonts w:asciiTheme="minorHAnsi" w:hAnsiTheme="minorHAnsi" w:cs="Calibri"/>
                <w:sz w:val="22"/>
                <w:szCs w:val="22"/>
              </w:rPr>
              <w:t>Observations of work in practice vs. documented procedures.</w:t>
            </w:r>
          </w:p>
          <w:p w14:paraId="5365F782" w14:textId="77777777" w:rsidR="00763022" w:rsidRPr="002A42C2" w:rsidRDefault="00763022" w:rsidP="002A42C2">
            <w:pPr>
              <w:pStyle w:val="NormalWeb"/>
              <w:numPr>
                <w:ilvl w:val="0"/>
                <w:numId w:val="12"/>
              </w:numPr>
              <w:spacing w:before="0" w:beforeAutospacing="0" w:after="0" w:afterAutospacing="0"/>
              <w:rPr>
                <w:rFonts w:asciiTheme="minorHAnsi" w:hAnsiTheme="minorHAnsi" w:cs="Calibri"/>
                <w:sz w:val="22"/>
                <w:szCs w:val="22"/>
              </w:rPr>
            </w:pPr>
            <w:r w:rsidRPr="002A42C2">
              <w:rPr>
                <w:rFonts w:asciiTheme="minorHAnsi" w:hAnsiTheme="minorHAnsi" w:cs="Calibri"/>
                <w:sz w:val="22"/>
                <w:szCs w:val="22"/>
              </w:rPr>
              <w:t>Identifying barriers to safe work practices.</w:t>
            </w:r>
          </w:p>
          <w:p w14:paraId="09D51E28" w14:textId="77777777" w:rsidR="00763022" w:rsidRPr="002A42C2" w:rsidRDefault="00763022" w:rsidP="002A42C2">
            <w:pPr>
              <w:rPr>
                <w:b/>
                <w:bCs/>
              </w:rPr>
            </w:pPr>
          </w:p>
        </w:tc>
        <w:tc>
          <w:tcPr>
            <w:tcW w:w="3686" w:type="dxa"/>
            <w:vAlign w:val="center"/>
          </w:tcPr>
          <w:p w14:paraId="4FF29589" w14:textId="77777777" w:rsidR="00763022" w:rsidRPr="002A42C2" w:rsidRDefault="00763022" w:rsidP="002A42C2">
            <w:pPr>
              <w:pStyle w:val="ListParagraph"/>
              <w:numPr>
                <w:ilvl w:val="0"/>
                <w:numId w:val="12"/>
              </w:numPr>
            </w:pPr>
            <w:r w:rsidRPr="002A42C2">
              <w:t>Effectiveness reviews of risk controls.</w:t>
            </w:r>
          </w:p>
          <w:p w14:paraId="285F7AAB" w14:textId="77777777" w:rsidR="00763022" w:rsidRPr="002A42C2" w:rsidRDefault="00763022" w:rsidP="002A42C2">
            <w:pPr>
              <w:pStyle w:val="NormalWeb"/>
              <w:numPr>
                <w:ilvl w:val="0"/>
                <w:numId w:val="12"/>
              </w:numPr>
              <w:spacing w:before="0" w:beforeAutospacing="0" w:after="0" w:afterAutospacing="0"/>
              <w:rPr>
                <w:rFonts w:asciiTheme="minorHAnsi" w:hAnsiTheme="minorHAnsi" w:cs="Calibri"/>
                <w:sz w:val="22"/>
                <w:szCs w:val="22"/>
              </w:rPr>
            </w:pPr>
            <w:r w:rsidRPr="002A42C2">
              <w:rPr>
                <w:rFonts w:asciiTheme="minorHAnsi" w:eastAsiaTheme="minorHAnsi" w:hAnsiTheme="minorHAnsi" w:cstheme="minorBidi"/>
                <w:kern w:val="2"/>
                <w:sz w:val="22"/>
                <w:szCs w:val="22"/>
                <w:lang w:eastAsia="en-US"/>
                <w14:ligatures w14:val="standardContextual"/>
              </w:rPr>
              <w:t>Worker feedback on system usability.</w:t>
            </w:r>
          </w:p>
        </w:tc>
        <w:tc>
          <w:tcPr>
            <w:tcW w:w="4536" w:type="dxa"/>
            <w:vAlign w:val="center"/>
          </w:tcPr>
          <w:p w14:paraId="71F1BA0D" w14:textId="15A36DA9" w:rsidR="00763022" w:rsidRPr="002A42C2" w:rsidRDefault="00290AD0" w:rsidP="002A42C2">
            <w:pPr>
              <w:pStyle w:val="NormalWeb"/>
              <w:numPr>
                <w:ilvl w:val="0"/>
                <w:numId w:val="12"/>
              </w:numPr>
              <w:spacing w:before="0" w:beforeAutospacing="0" w:after="0" w:afterAutospacing="0"/>
              <w:rPr>
                <w:rFonts w:asciiTheme="minorHAnsi" w:hAnsiTheme="minorHAnsi" w:cs="Calibri"/>
                <w:sz w:val="22"/>
                <w:szCs w:val="22"/>
              </w:rPr>
            </w:pPr>
            <w:r>
              <w:rPr>
                <w:rFonts w:asciiTheme="minorHAnsi" w:hAnsiTheme="minorHAnsi" w:cs="Calibri"/>
                <w:sz w:val="22"/>
                <w:szCs w:val="22"/>
              </w:rPr>
              <w:t>W</w:t>
            </w:r>
            <w:r w:rsidR="00763022" w:rsidRPr="002A42C2">
              <w:rPr>
                <w:rFonts w:asciiTheme="minorHAnsi" w:hAnsiTheme="minorHAnsi" w:cs="Calibri"/>
                <w:sz w:val="22"/>
                <w:szCs w:val="22"/>
              </w:rPr>
              <w:t>ork process deviations</w:t>
            </w:r>
            <w:r>
              <w:rPr>
                <w:rFonts w:asciiTheme="minorHAnsi" w:hAnsiTheme="minorHAnsi" w:cs="Calibri"/>
                <w:sz w:val="22"/>
                <w:szCs w:val="22"/>
              </w:rPr>
              <w:t>.</w:t>
            </w:r>
          </w:p>
          <w:p w14:paraId="617B6CF2" w14:textId="77777777" w:rsidR="00763022" w:rsidRPr="002A42C2" w:rsidRDefault="00763022" w:rsidP="002A42C2">
            <w:pPr>
              <w:pStyle w:val="NormalWeb"/>
              <w:numPr>
                <w:ilvl w:val="0"/>
                <w:numId w:val="12"/>
              </w:numPr>
              <w:spacing w:before="0" w:beforeAutospacing="0" w:after="0" w:afterAutospacing="0"/>
              <w:rPr>
                <w:rFonts w:asciiTheme="minorHAnsi" w:hAnsiTheme="minorHAnsi" w:cs="Calibri"/>
                <w:sz w:val="22"/>
                <w:szCs w:val="22"/>
              </w:rPr>
            </w:pPr>
            <w:r w:rsidRPr="002A42C2">
              <w:rPr>
                <w:rFonts w:asciiTheme="minorHAnsi" w:hAnsiTheme="minorHAnsi" w:cs="Calibri"/>
                <w:sz w:val="22"/>
                <w:szCs w:val="22"/>
              </w:rPr>
              <w:t>Worker feedback themes from engagement activities.</w:t>
            </w:r>
          </w:p>
          <w:p w14:paraId="570F733A" w14:textId="77777777" w:rsidR="00763022" w:rsidRPr="002A42C2" w:rsidRDefault="00763022" w:rsidP="002A42C2">
            <w:pPr>
              <w:pStyle w:val="NormalWeb"/>
              <w:numPr>
                <w:ilvl w:val="0"/>
                <w:numId w:val="12"/>
              </w:numPr>
              <w:spacing w:before="0" w:beforeAutospacing="0" w:after="0" w:afterAutospacing="0"/>
              <w:rPr>
                <w:rFonts w:asciiTheme="minorHAnsi" w:hAnsiTheme="minorHAnsi" w:cs="Calibri"/>
                <w:sz w:val="22"/>
                <w:szCs w:val="22"/>
              </w:rPr>
            </w:pPr>
            <w:r w:rsidRPr="002A42C2">
              <w:rPr>
                <w:rFonts w:asciiTheme="minorHAnsi" w:hAnsiTheme="minorHAnsi" w:cs="Calibri"/>
                <w:sz w:val="22"/>
                <w:szCs w:val="22"/>
              </w:rPr>
              <w:t>Incident trends linked to work complexity.</w:t>
            </w:r>
          </w:p>
          <w:p w14:paraId="06C466D1" w14:textId="77777777" w:rsidR="00763022" w:rsidRPr="002A42C2" w:rsidRDefault="00763022" w:rsidP="002A42C2">
            <w:pPr>
              <w:rPr>
                <w:b/>
                <w:bCs/>
              </w:rPr>
            </w:pPr>
          </w:p>
        </w:tc>
      </w:tr>
      <w:tr w:rsidR="00763022" w14:paraId="71E13CB5" w14:textId="77777777" w:rsidTr="002A42C2">
        <w:tc>
          <w:tcPr>
            <w:tcW w:w="3397" w:type="dxa"/>
            <w:vAlign w:val="center"/>
          </w:tcPr>
          <w:p w14:paraId="6F06494F" w14:textId="77777777" w:rsidR="00763022" w:rsidRPr="002A42C2" w:rsidRDefault="00763022" w:rsidP="002A42C2">
            <w:pPr>
              <w:pStyle w:val="ListParagraph"/>
              <w:numPr>
                <w:ilvl w:val="0"/>
                <w:numId w:val="11"/>
              </w:numPr>
              <w:spacing w:after="160"/>
              <w:rPr>
                <w:b/>
                <w:bCs/>
              </w:rPr>
            </w:pPr>
            <w:r w:rsidRPr="002A42C2">
              <w:rPr>
                <w:b/>
                <w:bCs/>
              </w:rPr>
              <w:t>Health &amp; Safety System Focus</w:t>
            </w:r>
          </w:p>
          <w:p w14:paraId="5F3745B9" w14:textId="77777777" w:rsidR="00763022" w:rsidRPr="002A42C2" w:rsidRDefault="00763022" w:rsidP="002A42C2">
            <w:r w:rsidRPr="002A42C2">
              <w:t>Are our systems and processes supporting safe work, and where do we need to improve?</w:t>
            </w:r>
          </w:p>
        </w:tc>
        <w:tc>
          <w:tcPr>
            <w:tcW w:w="3969" w:type="dxa"/>
            <w:vAlign w:val="center"/>
          </w:tcPr>
          <w:p w14:paraId="667AA4F1" w14:textId="77777777" w:rsidR="00763022" w:rsidRPr="002A42C2" w:rsidRDefault="00763022" w:rsidP="002A42C2">
            <w:pPr>
              <w:pStyle w:val="ListParagraph"/>
              <w:numPr>
                <w:ilvl w:val="0"/>
                <w:numId w:val="13"/>
              </w:numPr>
            </w:pPr>
            <w:r w:rsidRPr="002A42C2">
              <w:t>Effectiveness of key safety initiatives.</w:t>
            </w:r>
          </w:p>
          <w:p w14:paraId="0A16B07C" w14:textId="77777777" w:rsidR="00763022" w:rsidRPr="002A42C2" w:rsidRDefault="00763022" w:rsidP="002A42C2">
            <w:pPr>
              <w:pStyle w:val="ListParagraph"/>
              <w:numPr>
                <w:ilvl w:val="0"/>
                <w:numId w:val="13"/>
              </w:numPr>
            </w:pPr>
            <w:r w:rsidRPr="002A42C2">
              <w:t>Strength of risk controls in practice.</w:t>
            </w:r>
          </w:p>
          <w:p w14:paraId="237D2CFC" w14:textId="77777777" w:rsidR="00763022" w:rsidRPr="002A42C2" w:rsidRDefault="00763022" w:rsidP="002A42C2">
            <w:pPr>
              <w:pStyle w:val="ListParagraph"/>
              <w:numPr>
                <w:ilvl w:val="0"/>
                <w:numId w:val="13"/>
              </w:numPr>
            </w:pPr>
            <w:r w:rsidRPr="002A42C2">
              <w:t>Barriers to system adoption.</w:t>
            </w:r>
          </w:p>
          <w:p w14:paraId="14339245" w14:textId="77777777" w:rsidR="00763022" w:rsidRPr="002A42C2" w:rsidRDefault="00763022" w:rsidP="002A42C2">
            <w:pPr>
              <w:rPr>
                <w:b/>
                <w:bCs/>
              </w:rPr>
            </w:pPr>
          </w:p>
        </w:tc>
        <w:tc>
          <w:tcPr>
            <w:tcW w:w="3686" w:type="dxa"/>
            <w:vAlign w:val="center"/>
          </w:tcPr>
          <w:p w14:paraId="197F28ED" w14:textId="77777777" w:rsidR="00763022" w:rsidRPr="002A42C2" w:rsidRDefault="00763022" w:rsidP="002A42C2">
            <w:pPr>
              <w:pStyle w:val="ListParagraph"/>
              <w:numPr>
                <w:ilvl w:val="0"/>
                <w:numId w:val="27"/>
              </w:numPr>
            </w:pPr>
            <w:r w:rsidRPr="002A42C2">
              <w:t>Audit results with corrective actions.</w:t>
            </w:r>
          </w:p>
          <w:p w14:paraId="3E51C6FE" w14:textId="77777777" w:rsidR="00763022" w:rsidRPr="002A42C2" w:rsidRDefault="00763022" w:rsidP="002A42C2">
            <w:pPr>
              <w:pStyle w:val="ListParagraph"/>
              <w:numPr>
                <w:ilvl w:val="0"/>
                <w:numId w:val="27"/>
              </w:numPr>
            </w:pPr>
            <w:r w:rsidRPr="002A42C2">
              <w:t>Compliance audits.</w:t>
            </w:r>
          </w:p>
          <w:p w14:paraId="624BCF45" w14:textId="77777777" w:rsidR="00763022" w:rsidRPr="002A42C2" w:rsidRDefault="00763022" w:rsidP="002A42C2">
            <w:pPr>
              <w:pStyle w:val="ListParagraph"/>
              <w:numPr>
                <w:ilvl w:val="0"/>
                <w:numId w:val="27"/>
              </w:numPr>
            </w:pPr>
            <w:r w:rsidRPr="002A42C2">
              <w:t>Policy adherence metrics.</w:t>
            </w:r>
          </w:p>
          <w:p w14:paraId="115B7178" w14:textId="77777777" w:rsidR="00763022" w:rsidRPr="002A42C2" w:rsidRDefault="00763022" w:rsidP="002A42C2">
            <w:pPr>
              <w:pStyle w:val="ListParagraph"/>
              <w:numPr>
                <w:ilvl w:val="0"/>
                <w:numId w:val="27"/>
              </w:numPr>
            </w:pPr>
            <w:r w:rsidRPr="002A42C2">
              <w:t>Worker training completion rates.</w:t>
            </w:r>
          </w:p>
        </w:tc>
        <w:tc>
          <w:tcPr>
            <w:tcW w:w="4536" w:type="dxa"/>
            <w:vAlign w:val="center"/>
          </w:tcPr>
          <w:p w14:paraId="7C1CD58B" w14:textId="77777777" w:rsidR="00763022" w:rsidRPr="002A42C2" w:rsidRDefault="00763022" w:rsidP="002A42C2">
            <w:pPr>
              <w:pStyle w:val="ListParagraph"/>
              <w:numPr>
                <w:ilvl w:val="0"/>
                <w:numId w:val="13"/>
              </w:numPr>
            </w:pPr>
            <w:r w:rsidRPr="002A42C2">
              <w:t>Compliance with safety-critical processes (e.g., permits, pre-starts).</w:t>
            </w:r>
          </w:p>
          <w:p w14:paraId="7939243D" w14:textId="77777777" w:rsidR="00763022" w:rsidRPr="002A42C2" w:rsidRDefault="00763022" w:rsidP="002A42C2">
            <w:pPr>
              <w:pStyle w:val="ListParagraph"/>
              <w:numPr>
                <w:ilvl w:val="0"/>
                <w:numId w:val="13"/>
              </w:numPr>
            </w:pPr>
            <w:r w:rsidRPr="002A42C2">
              <w:t>Worker-reported usability of safety systems.</w:t>
            </w:r>
          </w:p>
          <w:p w14:paraId="203023FC" w14:textId="77777777" w:rsidR="00763022" w:rsidRPr="002A42C2" w:rsidRDefault="00763022" w:rsidP="002A42C2">
            <w:pPr>
              <w:pStyle w:val="ListParagraph"/>
              <w:numPr>
                <w:ilvl w:val="0"/>
                <w:numId w:val="13"/>
              </w:numPr>
              <w:rPr>
                <w:b/>
                <w:bCs/>
              </w:rPr>
            </w:pPr>
            <w:r w:rsidRPr="002A42C2">
              <w:t>Time taken to implement corrective actions.</w:t>
            </w:r>
          </w:p>
        </w:tc>
      </w:tr>
      <w:tr w:rsidR="00763022" w14:paraId="64B83EB8" w14:textId="77777777" w:rsidTr="002A42C2">
        <w:tc>
          <w:tcPr>
            <w:tcW w:w="3397" w:type="dxa"/>
            <w:vAlign w:val="center"/>
          </w:tcPr>
          <w:p w14:paraId="68E2D480" w14:textId="77777777" w:rsidR="00763022" w:rsidRPr="002A42C2" w:rsidRDefault="00763022" w:rsidP="002A42C2">
            <w:pPr>
              <w:pStyle w:val="ListParagraph"/>
              <w:numPr>
                <w:ilvl w:val="0"/>
                <w:numId w:val="11"/>
              </w:numPr>
              <w:spacing w:after="160"/>
              <w:rPr>
                <w:b/>
                <w:bCs/>
              </w:rPr>
            </w:pPr>
            <w:r w:rsidRPr="002A42C2">
              <w:rPr>
                <w:b/>
                <w:bCs/>
              </w:rPr>
              <w:t>Hazard &amp; Risk Management</w:t>
            </w:r>
          </w:p>
          <w:p w14:paraId="60FF304E" w14:textId="77777777" w:rsidR="00763022" w:rsidRPr="002A42C2" w:rsidRDefault="00763022" w:rsidP="002A42C2">
            <w:pPr>
              <w:pStyle w:val="ListParagraph"/>
              <w:numPr>
                <w:ilvl w:val="0"/>
                <w:numId w:val="15"/>
              </w:numPr>
            </w:pPr>
            <w:r w:rsidRPr="002A42C2">
              <w:t>Everyday Risks – Are workers equipped to identify and manage the risks they face?</w:t>
            </w:r>
          </w:p>
        </w:tc>
        <w:tc>
          <w:tcPr>
            <w:tcW w:w="3969" w:type="dxa"/>
            <w:vAlign w:val="center"/>
          </w:tcPr>
          <w:p w14:paraId="38ECF934" w14:textId="77777777" w:rsidR="00763022" w:rsidRPr="002A42C2" w:rsidRDefault="00763022" w:rsidP="002A42C2">
            <w:pPr>
              <w:pStyle w:val="ListParagraph"/>
              <w:numPr>
                <w:ilvl w:val="0"/>
                <w:numId w:val="14"/>
              </w:numPr>
            </w:pPr>
            <w:r w:rsidRPr="002A42C2">
              <w:t>Training effectiveness.</w:t>
            </w:r>
          </w:p>
          <w:p w14:paraId="762103B3" w14:textId="77777777" w:rsidR="00763022" w:rsidRPr="002A42C2" w:rsidRDefault="00763022" w:rsidP="002A42C2">
            <w:pPr>
              <w:pStyle w:val="ListParagraph"/>
              <w:numPr>
                <w:ilvl w:val="0"/>
                <w:numId w:val="14"/>
              </w:numPr>
            </w:pPr>
            <w:r w:rsidRPr="002A42C2">
              <w:t>Worker capability in identifying and controlling risks.</w:t>
            </w:r>
          </w:p>
          <w:p w14:paraId="6B97D2A0" w14:textId="77777777" w:rsidR="00763022" w:rsidRPr="002A42C2" w:rsidRDefault="00763022" w:rsidP="002A42C2">
            <w:pPr>
              <w:pStyle w:val="ListParagraph"/>
              <w:numPr>
                <w:ilvl w:val="0"/>
                <w:numId w:val="14"/>
              </w:numPr>
            </w:pPr>
            <w:r w:rsidRPr="002A42C2">
              <w:t>Effectiveness of reporting systems for common hazards.</w:t>
            </w:r>
          </w:p>
        </w:tc>
        <w:tc>
          <w:tcPr>
            <w:tcW w:w="3686" w:type="dxa"/>
            <w:vAlign w:val="center"/>
          </w:tcPr>
          <w:p w14:paraId="3A7833D8" w14:textId="77777777" w:rsidR="00763022" w:rsidRPr="002A42C2" w:rsidRDefault="00763022" w:rsidP="002A42C2">
            <w:pPr>
              <w:pStyle w:val="ListParagraph"/>
              <w:numPr>
                <w:ilvl w:val="0"/>
                <w:numId w:val="14"/>
              </w:numPr>
            </w:pPr>
            <w:r w:rsidRPr="002A42C2">
              <w:t>Themes from worker engagement and feedback.</w:t>
            </w:r>
          </w:p>
          <w:p w14:paraId="3069B8B7" w14:textId="77777777" w:rsidR="00763022" w:rsidRPr="002A42C2" w:rsidRDefault="00763022" w:rsidP="002A42C2">
            <w:pPr>
              <w:pStyle w:val="ListParagraph"/>
              <w:numPr>
                <w:ilvl w:val="0"/>
                <w:numId w:val="14"/>
              </w:numPr>
            </w:pPr>
            <w:r w:rsidRPr="002A42C2">
              <w:t>Review of policies and their impact.</w:t>
            </w:r>
          </w:p>
        </w:tc>
        <w:tc>
          <w:tcPr>
            <w:tcW w:w="4536" w:type="dxa"/>
            <w:vAlign w:val="center"/>
          </w:tcPr>
          <w:p w14:paraId="62E016C0" w14:textId="6B4984C8" w:rsidR="00763022" w:rsidRPr="002A42C2" w:rsidRDefault="00290AD0" w:rsidP="002A42C2">
            <w:pPr>
              <w:pStyle w:val="ListParagraph"/>
              <w:numPr>
                <w:ilvl w:val="0"/>
                <w:numId w:val="14"/>
              </w:numPr>
            </w:pPr>
            <w:r>
              <w:t>W</w:t>
            </w:r>
            <w:r w:rsidR="00763022" w:rsidRPr="002A42C2">
              <w:t>orker confiden</w:t>
            </w:r>
            <w:r>
              <w:t>ce</w:t>
            </w:r>
            <w:r w:rsidR="00763022" w:rsidRPr="002A42C2">
              <w:t xml:space="preserve"> in identifying workplace hazards.</w:t>
            </w:r>
          </w:p>
          <w:p w14:paraId="49D5AE86" w14:textId="4768780C" w:rsidR="00763022" w:rsidRPr="002A42C2" w:rsidRDefault="00290AD0" w:rsidP="002A42C2">
            <w:pPr>
              <w:pStyle w:val="ListParagraph"/>
              <w:numPr>
                <w:ilvl w:val="0"/>
                <w:numId w:val="14"/>
              </w:numPr>
            </w:pPr>
            <w:r>
              <w:t>R</w:t>
            </w:r>
            <w:r w:rsidR="00763022" w:rsidRPr="002A42C2">
              <w:t xml:space="preserve">eported hazards </w:t>
            </w:r>
            <w:r>
              <w:t>and</w:t>
            </w:r>
            <w:r w:rsidR="00763022" w:rsidRPr="002A42C2">
              <w:t xml:space="preserve"> corrective actions completed.</w:t>
            </w:r>
          </w:p>
          <w:p w14:paraId="25951E4D" w14:textId="67AB96ED" w:rsidR="00763022" w:rsidRPr="002A42C2" w:rsidRDefault="00290AD0" w:rsidP="002A42C2">
            <w:pPr>
              <w:pStyle w:val="ListParagraph"/>
              <w:numPr>
                <w:ilvl w:val="0"/>
                <w:numId w:val="14"/>
              </w:numPr>
            </w:pPr>
            <w:r>
              <w:t>A</w:t>
            </w:r>
            <w:r w:rsidR="00763022" w:rsidRPr="002A42C2">
              <w:t>nalysis of near</w:t>
            </w:r>
            <w:r>
              <w:t xml:space="preserve"> </w:t>
            </w:r>
            <w:r w:rsidR="00763022" w:rsidRPr="002A42C2">
              <w:t>misses vs. incidents</w:t>
            </w:r>
            <w:r>
              <w:t xml:space="preserve"> and trends</w:t>
            </w:r>
            <w:r w:rsidR="00763022" w:rsidRPr="002A42C2">
              <w:t>.</w:t>
            </w:r>
          </w:p>
        </w:tc>
      </w:tr>
      <w:tr w:rsidR="00763022" w14:paraId="3497ABC3" w14:textId="77777777" w:rsidTr="002A42C2">
        <w:tc>
          <w:tcPr>
            <w:tcW w:w="3397" w:type="dxa"/>
            <w:vAlign w:val="center"/>
          </w:tcPr>
          <w:p w14:paraId="0B4B1561" w14:textId="77777777" w:rsidR="00763022" w:rsidRPr="002A42C2" w:rsidRDefault="00763022" w:rsidP="002A42C2">
            <w:pPr>
              <w:pStyle w:val="ListParagraph"/>
              <w:numPr>
                <w:ilvl w:val="0"/>
                <w:numId w:val="15"/>
              </w:numPr>
            </w:pPr>
            <w:r w:rsidRPr="002A42C2">
              <w:t xml:space="preserve">High-Frequency, Low-Impact Events – Are minor incidents revealing system issues? </w:t>
            </w:r>
          </w:p>
        </w:tc>
        <w:tc>
          <w:tcPr>
            <w:tcW w:w="3969" w:type="dxa"/>
            <w:vAlign w:val="center"/>
          </w:tcPr>
          <w:p w14:paraId="5A7FD95E" w14:textId="77777777" w:rsidR="00763022" w:rsidRPr="002A42C2" w:rsidRDefault="00763022" w:rsidP="002A42C2">
            <w:pPr>
              <w:pStyle w:val="ListParagraph"/>
              <w:numPr>
                <w:ilvl w:val="0"/>
                <w:numId w:val="16"/>
              </w:numPr>
            </w:pPr>
            <w:r w:rsidRPr="002A42C2">
              <w:t>Early warning indicators of system weaknesses.</w:t>
            </w:r>
          </w:p>
          <w:p w14:paraId="75C2CEA6" w14:textId="77777777" w:rsidR="00763022" w:rsidRPr="002A42C2" w:rsidRDefault="00763022" w:rsidP="002A42C2">
            <w:pPr>
              <w:pStyle w:val="ListParagraph"/>
              <w:numPr>
                <w:ilvl w:val="0"/>
                <w:numId w:val="16"/>
              </w:numPr>
            </w:pPr>
            <w:r w:rsidRPr="002A42C2">
              <w:t>Long-term trends in recurring minor incidents.</w:t>
            </w:r>
          </w:p>
          <w:p w14:paraId="4D7EBEE6" w14:textId="77777777" w:rsidR="00763022" w:rsidRPr="002A42C2" w:rsidRDefault="00763022" w:rsidP="002A42C2">
            <w:pPr>
              <w:pStyle w:val="ListParagraph"/>
              <w:numPr>
                <w:ilvl w:val="0"/>
                <w:numId w:val="16"/>
              </w:numPr>
            </w:pPr>
            <w:r w:rsidRPr="002A42C2">
              <w:t>Response times and corrective action effectiveness.</w:t>
            </w:r>
          </w:p>
        </w:tc>
        <w:tc>
          <w:tcPr>
            <w:tcW w:w="3686" w:type="dxa"/>
            <w:vAlign w:val="center"/>
          </w:tcPr>
          <w:p w14:paraId="126E5C7E" w14:textId="77B2E3BB" w:rsidR="00763022" w:rsidRPr="002A42C2" w:rsidRDefault="00290AD0" w:rsidP="002A42C2">
            <w:pPr>
              <w:pStyle w:val="ListParagraph"/>
              <w:numPr>
                <w:ilvl w:val="0"/>
                <w:numId w:val="16"/>
              </w:numPr>
            </w:pPr>
            <w:r>
              <w:t>Lessons from i</w:t>
            </w:r>
            <w:r w:rsidR="00763022" w:rsidRPr="002A42C2">
              <w:t>ncident investigations and causal analysis.</w:t>
            </w:r>
          </w:p>
          <w:p w14:paraId="3D0BDCBD" w14:textId="2FF5B0B2" w:rsidR="00763022" w:rsidRPr="002A42C2" w:rsidRDefault="00763022" w:rsidP="00290AD0">
            <w:pPr>
              <w:pStyle w:val="ListParagraph"/>
              <w:numPr>
                <w:ilvl w:val="0"/>
                <w:numId w:val="16"/>
              </w:numPr>
            </w:pPr>
            <w:r w:rsidRPr="002A42C2">
              <w:t>Themes from worker engagement and feedback.</w:t>
            </w:r>
          </w:p>
        </w:tc>
        <w:tc>
          <w:tcPr>
            <w:tcW w:w="4536" w:type="dxa"/>
            <w:vAlign w:val="center"/>
          </w:tcPr>
          <w:p w14:paraId="0B20265D" w14:textId="77777777" w:rsidR="00763022" w:rsidRPr="002A42C2" w:rsidRDefault="00763022" w:rsidP="00E41B8B">
            <w:pPr>
              <w:pStyle w:val="ListParagraph"/>
              <w:numPr>
                <w:ilvl w:val="0"/>
                <w:numId w:val="16"/>
              </w:numPr>
            </w:pPr>
            <w:r w:rsidRPr="002A42C2">
              <w:t>Recurrence rate of specific minor incidents.</w:t>
            </w:r>
          </w:p>
          <w:p w14:paraId="590C5849" w14:textId="77777777" w:rsidR="00E41B8B" w:rsidRDefault="00E41B8B" w:rsidP="00E41B8B">
            <w:pPr>
              <w:pStyle w:val="ListParagraph"/>
              <w:numPr>
                <w:ilvl w:val="0"/>
                <w:numId w:val="16"/>
              </w:numPr>
            </w:pPr>
            <w:r>
              <w:t>Impact of system changes – those that have effectively reduced repeat issues and those that haven’t.</w:t>
            </w:r>
          </w:p>
          <w:p w14:paraId="3C80CF26" w14:textId="77777777" w:rsidR="00763022" w:rsidRPr="002A42C2" w:rsidRDefault="00763022" w:rsidP="00E41B8B">
            <w:pPr>
              <w:pStyle w:val="ListParagraph"/>
              <w:numPr>
                <w:ilvl w:val="0"/>
                <w:numId w:val="16"/>
              </w:numPr>
            </w:pPr>
            <w:r w:rsidRPr="002A42C2">
              <w:t>Time to close out corrective actions from minor incidents.</w:t>
            </w:r>
          </w:p>
        </w:tc>
      </w:tr>
      <w:tr w:rsidR="00763022" w14:paraId="4344443F" w14:textId="77777777" w:rsidTr="002A42C2">
        <w:tc>
          <w:tcPr>
            <w:tcW w:w="3397" w:type="dxa"/>
            <w:vAlign w:val="center"/>
          </w:tcPr>
          <w:p w14:paraId="39A53234" w14:textId="1B258CD1" w:rsidR="00763022" w:rsidRPr="002A42C2" w:rsidRDefault="00763022" w:rsidP="002A42C2">
            <w:pPr>
              <w:pStyle w:val="ListParagraph"/>
              <w:numPr>
                <w:ilvl w:val="0"/>
                <w:numId w:val="15"/>
              </w:numPr>
            </w:pPr>
            <w:r w:rsidRPr="002A42C2">
              <w:t xml:space="preserve">Critical Risks </w:t>
            </w:r>
            <w:r w:rsidR="00290AD0">
              <w:t xml:space="preserve">- </w:t>
            </w:r>
            <w:r w:rsidRPr="002A42C2">
              <w:t xml:space="preserve">Serious Incidents </w:t>
            </w:r>
            <w:r w:rsidR="00194E0A">
              <w:t>and</w:t>
            </w:r>
            <w:r w:rsidRPr="002A42C2">
              <w:t xml:space="preserve"> Fatalities – Are controls robust and working?</w:t>
            </w:r>
          </w:p>
        </w:tc>
        <w:tc>
          <w:tcPr>
            <w:tcW w:w="3969" w:type="dxa"/>
            <w:vAlign w:val="center"/>
          </w:tcPr>
          <w:p w14:paraId="1183D0FB" w14:textId="77777777" w:rsidR="00763022" w:rsidRPr="002A42C2" w:rsidRDefault="00763022" w:rsidP="002A42C2">
            <w:pPr>
              <w:pStyle w:val="ListParagraph"/>
              <w:numPr>
                <w:ilvl w:val="0"/>
                <w:numId w:val="17"/>
              </w:numPr>
            </w:pPr>
            <w:r w:rsidRPr="002A42C2">
              <w:t>Effectiveness of critical risk controls.</w:t>
            </w:r>
          </w:p>
          <w:p w14:paraId="08F4E9BB" w14:textId="77777777" w:rsidR="00763022" w:rsidRPr="002A42C2" w:rsidRDefault="00763022" w:rsidP="002A42C2">
            <w:pPr>
              <w:pStyle w:val="ListParagraph"/>
              <w:numPr>
                <w:ilvl w:val="0"/>
                <w:numId w:val="17"/>
              </w:numPr>
            </w:pPr>
            <w:r w:rsidRPr="002A42C2">
              <w:t>Organisational response to serious events.</w:t>
            </w:r>
          </w:p>
          <w:p w14:paraId="36B7556B" w14:textId="50E44155" w:rsidR="00763022" w:rsidRPr="002A42C2" w:rsidRDefault="00290AD0" w:rsidP="002A42C2">
            <w:pPr>
              <w:pStyle w:val="ListParagraph"/>
              <w:numPr>
                <w:ilvl w:val="0"/>
                <w:numId w:val="17"/>
              </w:numPr>
            </w:pPr>
            <w:r>
              <w:t>Officer and senior or executive manager</w:t>
            </w:r>
            <w:r w:rsidR="00763022" w:rsidRPr="002A42C2">
              <w:t xml:space="preserve"> scrutiny of critical risk performance.</w:t>
            </w:r>
          </w:p>
        </w:tc>
        <w:tc>
          <w:tcPr>
            <w:tcW w:w="3686" w:type="dxa"/>
            <w:vAlign w:val="center"/>
          </w:tcPr>
          <w:p w14:paraId="3254C356" w14:textId="77777777" w:rsidR="00763022" w:rsidRPr="002A42C2" w:rsidRDefault="00763022" w:rsidP="002A42C2">
            <w:pPr>
              <w:pStyle w:val="ListParagraph"/>
              <w:numPr>
                <w:ilvl w:val="0"/>
                <w:numId w:val="17"/>
              </w:numPr>
            </w:pPr>
            <w:r w:rsidRPr="002A42C2">
              <w:t>Incident investigations and causal analysis.</w:t>
            </w:r>
          </w:p>
          <w:p w14:paraId="5A498351" w14:textId="635FD775" w:rsidR="00763022" w:rsidRPr="002A42C2" w:rsidRDefault="00763022" w:rsidP="002A42C2">
            <w:pPr>
              <w:pStyle w:val="ListParagraph"/>
              <w:numPr>
                <w:ilvl w:val="0"/>
                <w:numId w:val="17"/>
              </w:numPr>
            </w:pPr>
            <w:r w:rsidRPr="002A42C2">
              <w:t>Themes from worker engagement and feedback.</w:t>
            </w:r>
          </w:p>
        </w:tc>
        <w:tc>
          <w:tcPr>
            <w:tcW w:w="4536" w:type="dxa"/>
            <w:vAlign w:val="center"/>
          </w:tcPr>
          <w:p w14:paraId="513FAD24" w14:textId="49B2B334" w:rsidR="00763022" w:rsidRPr="002A42C2" w:rsidRDefault="00194E0A" w:rsidP="002A42C2">
            <w:pPr>
              <w:pStyle w:val="ListParagraph"/>
              <w:numPr>
                <w:ilvl w:val="0"/>
                <w:numId w:val="17"/>
              </w:numPr>
            </w:pPr>
            <w:r>
              <w:t>C</w:t>
            </w:r>
            <w:r w:rsidR="00763022" w:rsidRPr="002A42C2">
              <w:t>ritical risk controls tested and verified as effective.</w:t>
            </w:r>
          </w:p>
          <w:p w14:paraId="12E21B71" w14:textId="6197DDA2" w:rsidR="00763022" w:rsidRPr="002A42C2" w:rsidRDefault="00194E0A" w:rsidP="002A42C2">
            <w:pPr>
              <w:pStyle w:val="ListParagraph"/>
              <w:numPr>
                <w:ilvl w:val="0"/>
                <w:numId w:val="17"/>
              </w:numPr>
            </w:pPr>
            <w:r>
              <w:t>S</w:t>
            </w:r>
            <w:r w:rsidR="00763022" w:rsidRPr="002A42C2">
              <w:t>erious incidents with detailed causal analysis.</w:t>
            </w:r>
          </w:p>
          <w:p w14:paraId="07437DF8" w14:textId="714EBF36" w:rsidR="00763022" w:rsidRPr="002A42C2" w:rsidRDefault="00290AD0" w:rsidP="002A42C2">
            <w:pPr>
              <w:pStyle w:val="ListParagraph"/>
              <w:numPr>
                <w:ilvl w:val="0"/>
                <w:numId w:val="17"/>
              </w:numPr>
            </w:pPr>
            <w:r>
              <w:t>Officer and senior or executive manager</w:t>
            </w:r>
            <w:r w:rsidR="00763022" w:rsidRPr="002A42C2">
              <w:t xml:space="preserve"> engagement in critical risk reviews.</w:t>
            </w:r>
          </w:p>
        </w:tc>
      </w:tr>
      <w:bookmarkEnd w:id="1"/>
    </w:tbl>
    <w:p w14:paraId="0435E6B0" w14:textId="77777777" w:rsidR="00A04CC3" w:rsidRPr="00C01137" w:rsidRDefault="00A04CC3" w:rsidP="00305787"/>
    <w:sectPr w:rsidR="00A04CC3" w:rsidRPr="00C01137" w:rsidSect="00EB39FA">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565"/>
    <w:multiLevelType w:val="hybridMultilevel"/>
    <w:tmpl w:val="DDFEE3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B9348B8"/>
    <w:multiLevelType w:val="hybridMultilevel"/>
    <w:tmpl w:val="1A84BFF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092526F"/>
    <w:multiLevelType w:val="hybridMultilevel"/>
    <w:tmpl w:val="94D078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12E3F09"/>
    <w:multiLevelType w:val="hybridMultilevel"/>
    <w:tmpl w:val="4C4678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568713E"/>
    <w:multiLevelType w:val="multilevel"/>
    <w:tmpl w:val="5CA4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F71EDB"/>
    <w:multiLevelType w:val="hybridMultilevel"/>
    <w:tmpl w:val="F26E1E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B8D34C7"/>
    <w:multiLevelType w:val="multilevel"/>
    <w:tmpl w:val="FCCCB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C2C7D"/>
    <w:multiLevelType w:val="hybridMultilevel"/>
    <w:tmpl w:val="93FCD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08E0FAE"/>
    <w:multiLevelType w:val="hybridMultilevel"/>
    <w:tmpl w:val="2D52F4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1920A4F"/>
    <w:multiLevelType w:val="hybridMultilevel"/>
    <w:tmpl w:val="58DC77BA"/>
    <w:lvl w:ilvl="0" w:tplc="052CB5BC">
      <w:start w:val="3"/>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23B17BFB"/>
    <w:multiLevelType w:val="hybridMultilevel"/>
    <w:tmpl w:val="36026C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6350F8"/>
    <w:multiLevelType w:val="hybridMultilevel"/>
    <w:tmpl w:val="4EACAA56"/>
    <w:lvl w:ilvl="0" w:tplc="1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CFC0BAD"/>
    <w:multiLevelType w:val="multilevel"/>
    <w:tmpl w:val="5300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2D6E33"/>
    <w:multiLevelType w:val="hybridMultilevel"/>
    <w:tmpl w:val="EE3E78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3CF5410"/>
    <w:multiLevelType w:val="hybridMultilevel"/>
    <w:tmpl w:val="EF4A71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C29307E"/>
    <w:multiLevelType w:val="multilevel"/>
    <w:tmpl w:val="FC200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7E7631"/>
    <w:multiLevelType w:val="hybridMultilevel"/>
    <w:tmpl w:val="38080886"/>
    <w:lvl w:ilvl="0" w:tplc="14090015">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47280306"/>
    <w:multiLevelType w:val="hybridMultilevel"/>
    <w:tmpl w:val="4170C5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74F617A"/>
    <w:multiLevelType w:val="hybridMultilevel"/>
    <w:tmpl w:val="B690688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8C7431A"/>
    <w:multiLevelType w:val="hybridMultilevel"/>
    <w:tmpl w:val="125EE510"/>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0C26878"/>
    <w:multiLevelType w:val="hybridMultilevel"/>
    <w:tmpl w:val="01187786"/>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587B25B6"/>
    <w:multiLevelType w:val="hybridMultilevel"/>
    <w:tmpl w:val="2688B1FA"/>
    <w:lvl w:ilvl="0" w:tplc="1DA6CE8A">
      <w:numFmt w:val="bullet"/>
      <w:lvlText w:val="-"/>
      <w:lvlJc w:val="left"/>
      <w:pPr>
        <w:ind w:left="720" w:hanging="360"/>
      </w:pPr>
      <w:rPr>
        <w:rFonts w:ascii="Aptos" w:eastAsiaTheme="minorHAnsi" w:hAnsi="Aptos"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9060CB0"/>
    <w:multiLevelType w:val="hybridMultilevel"/>
    <w:tmpl w:val="564E5208"/>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62C2704E"/>
    <w:multiLevelType w:val="hybridMultilevel"/>
    <w:tmpl w:val="63425A52"/>
    <w:lvl w:ilvl="0" w:tplc="2E8038F4">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75B6D9E"/>
    <w:multiLevelType w:val="hybridMultilevel"/>
    <w:tmpl w:val="4A6465AC"/>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8612C35"/>
    <w:multiLevelType w:val="multilevel"/>
    <w:tmpl w:val="3702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CE7B2E"/>
    <w:multiLevelType w:val="multilevel"/>
    <w:tmpl w:val="ECE8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745CC4"/>
    <w:multiLevelType w:val="hybridMultilevel"/>
    <w:tmpl w:val="D1A41E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74E5533A"/>
    <w:multiLevelType w:val="multilevel"/>
    <w:tmpl w:val="48428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6197749"/>
    <w:multiLevelType w:val="hybridMultilevel"/>
    <w:tmpl w:val="1E90ED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6D34CA6"/>
    <w:multiLevelType w:val="hybridMultilevel"/>
    <w:tmpl w:val="E64CA912"/>
    <w:lvl w:ilvl="0" w:tplc="FFFFFFFF">
      <w:start w:val="1"/>
      <w:numFmt w:val="bullet"/>
      <w:lvlText w:val=""/>
      <w:lvlJc w:val="left"/>
      <w:pPr>
        <w:ind w:left="360" w:hanging="360"/>
      </w:pPr>
      <w:rPr>
        <w:rFonts w:ascii="Symbol" w:hAnsi="Symbol" w:hint="default"/>
      </w:rPr>
    </w:lvl>
    <w:lvl w:ilvl="1" w:tplc="14090011">
      <w:start w:val="1"/>
      <w:numFmt w:val="decimal"/>
      <w:lvlText w:val="%2)"/>
      <w:lvlJc w:val="left"/>
      <w:pPr>
        <w:ind w:left="72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A9A3DBB"/>
    <w:multiLevelType w:val="hybridMultilevel"/>
    <w:tmpl w:val="C1FC70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EDF7D60"/>
    <w:multiLevelType w:val="hybridMultilevel"/>
    <w:tmpl w:val="1E0ABFC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F2C1E1B"/>
    <w:multiLevelType w:val="hybridMultilevel"/>
    <w:tmpl w:val="E4A648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546065918">
    <w:abstractNumId w:val="21"/>
  </w:num>
  <w:num w:numId="2" w16cid:durableId="1856966943">
    <w:abstractNumId w:val="32"/>
  </w:num>
  <w:num w:numId="3" w16cid:durableId="2094432011">
    <w:abstractNumId w:val="25"/>
  </w:num>
  <w:num w:numId="4" w16cid:durableId="1358502261">
    <w:abstractNumId w:val="6"/>
  </w:num>
  <w:num w:numId="5" w16cid:durableId="753010999">
    <w:abstractNumId w:val="13"/>
  </w:num>
  <w:num w:numId="6" w16cid:durableId="1822382066">
    <w:abstractNumId w:val="23"/>
  </w:num>
  <w:num w:numId="7" w16cid:durableId="478116158">
    <w:abstractNumId w:val="15"/>
  </w:num>
  <w:num w:numId="8" w16cid:durableId="910774810">
    <w:abstractNumId w:val="26"/>
  </w:num>
  <w:num w:numId="9" w16cid:durableId="1019620010">
    <w:abstractNumId w:val="12"/>
  </w:num>
  <w:num w:numId="10" w16cid:durableId="324087769">
    <w:abstractNumId w:val="4"/>
  </w:num>
  <w:num w:numId="11" w16cid:durableId="345600731">
    <w:abstractNumId w:val="20"/>
  </w:num>
  <w:num w:numId="12" w16cid:durableId="1278099464">
    <w:abstractNumId w:val="14"/>
  </w:num>
  <w:num w:numId="13" w16cid:durableId="207373499">
    <w:abstractNumId w:val="0"/>
  </w:num>
  <w:num w:numId="14" w16cid:durableId="1209225817">
    <w:abstractNumId w:val="27"/>
  </w:num>
  <w:num w:numId="15" w16cid:durableId="1589655902">
    <w:abstractNumId w:val="16"/>
  </w:num>
  <w:num w:numId="16" w16cid:durableId="2115395440">
    <w:abstractNumId w:val="2"/>
  </w:num>
  <w:num w:numId="17" w16cid:durableId="712584207">
    <w:abstractNumId w:val="33"/>
  </w:num>
  <w:num w:numId="18" w16cid:durableId="2025665889">
    <w:abstractNumId w:val="31"/>
  </w:num>
  <w:num w:numId="19" w16cid:durableId="274600064">
    <w:abstractNumId w:val="11"/>
  </w:num>
  <w:num w:numId="20" w16cid:durableId="2126121968">
    <w:abstractNumId w:val="7"/>
  </w:num>
  <w:num w:numId="21" w16cid:durableId="589116936">
    <w:abstractNumId w:val="5"/>
  </w:num>
  <w:num w:numId="22" w16cid:durableId="46532976">
    <w:abstractNumId w:val="18"/>
  </w:num>
  <w:num w:numId="23" w16cid:durableId="810438111">
    <w:abstractNumId w:val="22"/>
  </w:num>
  <w:num w:numId="24" w16cid:durableId="1655144326">
    <w:abstractNumId w:val="3"/>
  </w:num>
  <w:num w:numId="25" w16cid:durableId="708064729">
    <w:abstractNumId w:val="1"/>
  </w:num>
  <w:num w:numId="26" w16cid:durableId="1416319517">
    <w:abstractNumId w:val="30"/>
  </w:num>
  <w:num w:numId="27" w16cid:durableId="1581714183">
    <w:abstractNumId w:val="17"/>
  </w:num>
  <w:num w:numId="28" w16cid:durableId="669454114">
    <w:abstractNumId w:val="19"/>
  </w:num>
  <w:num w:numId="29" w16cid:durableId="447898726">
    <w:abstractNumId w:val="24"/>
  </w:num>
  <w:num w:numId="30" w16cid:durableId="1386752820">
    <w:abstractNumId w:val="9"/>
  </w:num>
  <w:num w:numId="31" w16cid:durableId="1923486945">
    <w:abstractNumId w:val="8"/>
  </w:num>
  <w:num w:numId="32" w16cid:durableId="1935091119">
    <w:abstractNumId w:val="29"/>
  </w:num>
  <w:num w:numId="33" w16cid:durableId="190586975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1836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3B"/>
    <w:rsid w:val="000057D8"/>
    <w:rsid w:val="000658DB"/>
    <w:rsid w:val="00086A03"/>
    <w:rsid w:val="00086DBD"/>
    <w:rsid w:val="000E095C"/>
    <w:rsid w:val="000E6503"/>
    <w:rsid w:val="00121BBF"/>
    <w:rsid w:val="00136D85"/>
    <w:rsid w:val="00144BEE"/>
    <w:rsid w:val="00162EA6"/>
    <w:rsid w:val="00165DCD"/>
    <w:rsid w:val="001706C6"/>
    <w:rsid w:val="00194E0A"/>
    <w:rsid w:val="001A624D"/>
    <w:rsid w:val="001B46CC"/>
    <w:rsid w:val="001E038B"/>
    <w:rsid w:val="001F6C84"/>
    <w:rsid w:val="00283FD9"/>
    <w:rsid w:val="00284876"/>
    <w:rsid w:val="00290AD0"/>
    <w:rsid w:val="002A31E2"/>
    <w:rsid w:val="002A3F92"/>
    <w:rsid w:val="002A42C2"/>
    <w:rsid w:val="002A52B9"/>
    <w:rsid w:val="002A77E6"/>
    <w:rsid w:val="002C0E0D"/>
    <w:rsid w:val="002C38E1"/>
    <w:rsid w:val="002D6843"/>
    <w:rsid w:val="00305787"/>
    <w:rsid w:val="003203BC"/>
    <w:rsid w:val="00323B11"/>
    <w:rsid w:val="00325597"/>
    <w:rsid w:val="00337429"/>
    <w:rsid w:val="00340D43"/>
    <w:rsid w:val="00356A03"/>
    <w:rsid w:val="00383238"/>
    <w:rsid w:val="003A0EB1"/>
    <w:rsid w:val="003A6907"/>
    <w:rsid w:val="003E03EB"/>
    <w:rsid w:val="004019FE"/>
    <w:rsid w:val="00414A7E"/>
    <w:rsid w:val="004365E8"/>
    <w:rsid w:val="004476B7"/>
    <w:rsid w:val="00482B65"/>
    <w:rsid w:val="004C14E7"/>
    <w:rsid w:val="004C404E"/>
    <w:rsid w:val="004D5F78"/>
    <w:rsid w:val="004E14AB"/>
    <w:rsid w:val="005008C8"/>
    <w:rsid w:val="00511E0A"/>
    <w:rsid w:val="005312F1"/>
    <w:rsid w:val="00576E70"/>
    <w:rsid w:val="005834A9"/>
    <w:rsid w:val="00590EF2"/>
    <w:rsid w:val="005A661C"/>
    <w:rsid w:val="005B71DD"/>
    <w:rsid w:val="005E3EA4"/>
    <w:rsid w:val="005F0A37"/>
    <w:rsid w:val="00610E57"/>
    <w:rsid w:val="006220F0"/>
    <w:rsid w:val="006611D2"/>
    <w:rsid w:val="00662CD7"/>
    <w:rsid w:val="00663852"/>
    <w:rsid w:val="0068765D"/>
    <w:rsid w:val="00694162"/>
    <w:rsid w:val="006A21C0"/>
    <w:rsid w:val="006C2CCF"/>
    <w:rsid w:val="006D4CAF"/>
    <w:rsid w:val="006E08A8"/>
    <w:rsid w:val="006F0A29"/>
    <w:rsid w:val="0073134D"/>
    <w:rsid w:val="007341A9"/>
    <w:rsid w:val="007445D2"/>
    <w:rsid w:val="0074587E"/>
    <w:rsid w:val="0075280F"/>
    <w:rsid w:val="00763022"/>
    <w:rsid w:val="0077450A"/>
    <w:rsid w:val="00776725"/>
    <w:rsid w:val="00780129"/>
    <w:rsid w:val="00783262"/>
    <w:rsid w:val="007A5B23"/>
    <w:rsid w:val="007A5FBF"/>
    <w:rsid w:val="007B0C50"/>
    <w:rsid w:val="007B61EF"/>
    <w:rsid w:val="007D01D7"/>
    <w:rsid w:val="007D2938"/>
    <w:rsid w:val="007E53A5"/>
    <w:rsid w:val="007E5645"/>
    <w:rsid w:val="007E6D23"/>
    <w:rsid w:val="00862AD2"/>
    <w:rsid w:val="0088279E"/>
    <w:rsid w:val="008A722F"/>
    <w:rsid w:val="008B3C55"/>
    <w:rsid w:val="008D373A"/>
    <w:rsid w:val="008D6006"/>
    <w:rsid w:val="008E0129"/>
    <w:rsid w:val="008E296E"/>
    <w:rsid w:val="00904037"/>
    <w:rsid w:val="00907467"/>
    <w:rsid w:val="009314E7"/>
    <w:rsid w:val="009418A3"/>
    <w:rsid w:val="00984C46"/>
    <w:rsid w:val="00990641"/>
    <w:rsid w:val="009B1BFC"/>
    <w:rsid w:val="009E55D4"/>
    <w:rsid w:val="00A04CC3"/>
    <w:rsid w:val="00A11901"/>
    <w:rsid w:val="00A127A5"/>
    <w:rsid w:val="00A153A7"/>
    <w:rsid w:val="00A21564"/>
    <w:rsid w:val="00A40969"/>
    <w:rsid w:val="00A43859"/>
    <w:rsid w:val="00A55FCF"/>
    <w:rsid w:val="00A737DB"/>
    <w:rsid w:val="00A94665"/>
    <w:rsid w:val="00AC7153"/>
    <w:rsid w:val="00AE2164"/>
    <w:rsid w:val="00AF7A60"/>
    <w:rsid w:val="00B02BCC"/>
    <w:rsid w:val="00B202F5"/>
    <w:rsid w:val="00B2112F"/>
    <w:rsid w:val="00B2798A"/>
    <w:rsid w:val="00B333A6"/>
    <w:rsid w:val="00B3403F"/>
    <w:rsid w:val="00B909A5"/>
    <w:rsid w:val="00BA388E"/>
    <w:rsid w:val="00BB3142"/>
    <w:rsid w:val="00BB4E51"/>
    <w:rsid w:val="00BB759A"/>
    <w:rsid w:val="00BC6C95"/>
    <w:rsid w:val="00BD1DC1"/>
    <w:rsid w:val="00BD34BF"/>
    <w:rsid w:val="00BD3578"/>
    <w:rsid w:val="00BD4E50"/>
    <w:rsid w:val="00BE3CC3"/>
    <w:rsid w:val="00BE4133"/>
    <w:rsid w:val="00C01137"/>
    <w:rsid w:val="00C01D24"/>
    <w:rsid w:val="00C34455"/>
    <w:rsid w:val="00C4135B"/>
    <w:rsid w:val="00C51517"/>
    <w:rsid w:val="00C632D0"/>
    <w:rsid w:val="00C8006F"/>
    <w:rsid w:val="00CC1948"/>
    <w:rsid w:val="00CC248F"/>
    <w:rsid w:val="00CE35D6"/>
    <w:rsid w:val="00CF688E"/>
    <w:rsid w:val="00D14E95"/>
    <w:rsid w:val="00D17EDB"/>
    <w:rsid w:val="00D30690"/>
    <w:rsid w:val="00D34A59"/>
    <w:rsid w:val="00D54FBE"/>
    <w:rsid w:val="00D7432B"/>
    <w:rsid w:val="00D91E25"/>
    <w:rsid w:val="00DB1991"/>
    <w:rsid w:val="00DE6832"/>
    <w:rsid w:val="00DF6D9E"/>
    <w:rsid w:val="00E2250C"/>
    <w:rsid w:val="00E22D9D"/>
    <w:rsid w:val="00E26E6B"/>
    <w:rsid w:val="00E3776A"/>
    <w:rsid w:val="00E41B8B"/>
    <w:rsid w:val="00E426D8"/>
    <w:rsid w:val="00E47F1E"/>
    <w:rsid w:val="00E67C11"/>
    <w:rsid w:val="00E8193B"/>
    <w:rsid w:val="00EA7BFE"/>
    <w:rsid w:val="00EB39FA"/>
    <w:rsid w:val="00EC0ED7"/>
    <w:rsid w:val="00EF46AB"/>
    <w:rsid w:val="00F0698B"/>
    <w:rsid w:val="00F07C40"/>
    <w:rsid w:val="00F10B23"/>
    <w:rsid w:val="00F56768"/>
    <w:rsid w:val="00F6527B"/>
    <w:rsid w:val="00F87451"/>
    <w:rsid w:val="00FA7FA4"/>
    <w:rsid w:val="00FC2EBB"/>
    <w:rsid w:val="00FD15FE"/>
    <w:rsid w:val="00FD6108"/>
    <w:rsid w:val="00FE0409"/>
    <w:rsid w:val="00FF34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2FAB"/>
  <w15:chartTrackingRefBased/>
  <w15:docId w15:val="{B972562B-7D14-4227-95E4-CDD0EA4F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9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9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9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9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9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9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9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9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9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9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93B"/>
    <w:rPr>
      <w:rFonts w:eastAsiaTheme="majorEastAsia" w:cstheme="majorBidi"/>
      <w:color w:val="272727" w:themeColor="text1" w:themeTint="D8"/>
    </w:rPr>
  </w:style>
  <w:style w:type="paragraph" w:styleId="Title">
    <w:name w:val="Title"/>
    <w:basedOn w:val="Normal"/>
    <w:next w:val="Normal"/>
    <w:link w:val="TitleChar"/>
    <w:uiPriority w:val="10"/>
    <w:qFormat/>
    <w:rsid w:val="00E81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9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93B"/>
    <w:pPr>
      <w:spacing w:before="160"/>
      <w:jc w:val="center"/>
    </w:pPr>
    <w:rPr>
      <w:i/>
      <w:iCs/>
      <w:color w:val="404040" w:themeColor="text1" w:themeTint="BF"/>
    </w:rPr>
  </w:style>
  <w:style w:type="character" w:customStyle="1" w:styleId="QuoteChar">
    <w:name w:val="Quote Char"/>
    <w:basedOn w:val="DefaultParagraphFont"/>
    <w:link w:val="Quote"/>
    <w:uiPriority w:val="29"/>
    <w:rsid w:val="00E8193B"/>
    <w:rPr>
      <w:i/>
      <w:iCs/>
      <w:color w:val="404040" w:themeColor="text1" w:themeTint="BF"/>
    </w:rPr>
  </w:style>
  <w:style w:type="paragraph" w:styleId="ListParagraph">
    <w:name w:val="List Paragraph"/>
    <w:basedOn w:val="Normal"/>
    <w:uiPriority w:val="34"/>
    <w:qFormat/>
    <w:rsid w:val="00E8193B"/>
    <w:pPr>
      <w:ind w:left="720"/>
      <w:contextualSpacing/>
    </w:pPr>
  </w:style>
  <w:style w:type="character" w:styleId="IntenseEmphasis">
    <w:name w:val="Intense Emphasis"/>
    <w:basedOn w:val="DefaultParagraphFont"/>
    <w:uiPriority w:val="21"/>
    <w:qFormat/>
    <w:rsid w:val="00E8193B"/>
    <w:rPr>
      <w:i/>
      <w:iCs/>
      <w:color w:val="0F4761" w:themeColor="accent1" w:themeShade="BF"/>
    </w:rPr>
  </w:style>
  <w:style w:type="paragraph" w:styleId="IntenseQuote">
    <w:name w:val="Intense Quote"/>
    <w:basedOn w:val="Normal"/>
    <w:next w:val="Normal"/>
    <w:link w:val="IntenseQuoteChar"/>
    <w:uiPriority w:val="30"/>
    <w:qFormat/>
    <w:rsid w:val="00E81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93B"/>
    <w:rPr>
      <w:i/>
      <w:iCs/>
      <w:color w:val="0F4761" w:themeColor="accent1" w:themeShade="BF"/>
    </w:rPr>
  </w:style>
  <w:style w:type="character" w:styleId="IntenseReference">
    <w:name w:val="Intense Reference"/>
    <w:basedOn w:val="DefaultParagraphFont"/>
    <w:uiPriority w:val="32"/>
    <w:qFormat/>
    <w:rsid w:val="00E8193B"/>
    <w:rPr>
      <w:b/>
      <w:bCs/>
      <w:smallCaps/>
      <w:color w:val="0F4761" w:themeColor="accent1" w:themeShade="BF"/>
      <w:spacing w:val="5"/>
    </w:rPr>
  </w:style>
  <w:style w:type="paragraph" w:styleId="NormalWeb">
    <w:name w:val="Normal (Web)"/>
    <w:basedOn w:val="Normal"/>
    <w:uiPriority w:val="99"/>
    <w:unhideWhenUsed/>
    <w:rsid w:val="00A737DB"/>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table" w:styleId="TableGrid">
    <w:name w:val="Table Grid"/>
    <w:basedOn w:val="TableNormal"/>
    <w:uiPriority w:val="39"/>
    <w:rsid w:val="00447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432B"/>
    <w:pPr>
      <w:spacing w:after="0" w:line="240" w:lineRule="auto"/>
    </w:pPr>
  </w:style>
  <w:style w:type="character" w:styleId="CommentReference">
    <w:name w:val="annotation reference"/>
    <w:basedOn w:val="DefaultParagraphFont"/>
    <w:uiPriority w:val="99"/>
    <w:semiHidden/>
    <w:unhideWhenUsed/>
    <w:rsid w:val="00D34A59"/>
    <w:rPr>
      <w:sz w:val="16"/>
      <w:szCs w:val="16"/>
    </w:rPr>
  </w:style>
  <w:style w:type="paragraph" w:styleId="CommentText">
    <w:name w:val="annotation text"/>
    <w:basedOn w:val="Normal"/>
    <w:link w:val="CommentTextChar"/>
    <w:uiPriority w:val="99"/>
    <w:unhideWhenUsed/>
    <w:rsid w:val="00D34A59"/>
    <w:pPr>
      <w:spacing w:line="240" w:lineRule="auto"/>
    </w:pPr>
    <w:rPr>
      <w:sz w:val="20"/>
      <w:szCs w:val="20"/>
    </w:rPr>
  </w:style>
  <w:style w:type="character" w:customStyle="1" w:styleId="CommentTextChar">
    <w:name w:val="Comment Text Char"/>
    <w:basedOn w:val="DefaultParagraphFont"/>
    <w:link w:val="CommentText"/>
    <w:uiPriority w:val="99"/>
    <w:rsid w:val="00D34A59"/>
    <w:rPr>
      <w:sz w:val="20"/>
      <w:szCs w:val="20"/>
    </w:rPr>
  </w:style>
  <w:style w:type="paragraph" w:styleId="CommentSubject">
    <w:name w:val="annotation subject"/>
    <w:basedOn w:val="CommentText"/>
    <w:next w:val="CommentText"/>
    <w:link w:val="CommentSubjectChar"/>
    <w:uiPriority w:val="99"/>
    <w:semiHidden/>
    <w:unhideWhenUsed/>
    <w:rsid w:val="00D34A59"/>
    <w:rPr>
      <w:b/>
      <w:bCs/>
    </w:rPr>
  </w:style>
  <w:style w:type="character" w:customStyle="1" w:styleId="CommentSubjectChar">
    <w:name w:val="Comment Subject Char"/>
    <w:basedOn w:val="CommentTextChar"/>
    <w:link w:val="CommentSubject"/>
    <w:uiPriority w:val="99"/>
    <w:semiHidden/>
    <w:rsid w:val="00D34A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502">
      <w:bodyDiv w:val="1"/>
      <w:marLeft w:val="0"/>
      <w:marRight w:val="0"/>
      <w:marTop w:val="0"/>
      <w:marBottom w:val="0"/>
      <w:divBdr>
        <w:top w:val="none" w:sz="0" w:space="0" w:color="auto"/>
        <w:left w:val="none" w:sz="0" w:space="0" w:color="auto"/>
        <w:bottom w:val="none" w:sz="0" w:space="0" w:color="auto"/>
        <w:right w:val="none" w:sz="0" w:space="0" w:color="auto"/>
      </w:divBdr>
    </w:div>
    <w:div w:id="139464407">
      <w:bodyDiv w:val="1"/>
      <w:marLeft w:val="0"/>
      <w:marRight w:val="0"/>
      <w:marTop w:val="0"/>
      <w:marBottom w:val="0"/>
      <w:divBdr>
        <w:top w:val="none" w:sz="0" w:space="0" w:color="auto"/>
        <w:left w:val="none" w:sz="0" w:space="0" w:color="auto"/>
        <w:bottom w:val="none" w:sz="0" w:space="0" w:color="auto"/>
        <w:right w:val="none" w:sz="0" w:space="0" w:color="auto"/>
      </w:divBdr>
    </w:div>
    <w:div w:id="140124800">
      <w:bodyDiv w:val="1"/>
      <w:marLeft w:val="0"/>
      <w:marRight w:val="0"/>
      <w:marTop w:val="0"/>
      <w:marBottom w:val="0"/>
      <w:divBdr>
        <w:top w:val="none" w:sz="0" w:space="0" w:color="auto"/>
        <w:left w:val="none" w:sz="0" w:space="0" w:color="auto"/>
        <w:bottom w:val="none" w:sz="0" w:space="0" w:color="auto"/>
        <w:right w:val="none" w:sz="0" w:space="0" w:color="auto"/>
      </w:divBdr>
    </w:div>
    <w:div w:id="192348522">
      <w:bodyDiv w:val="1"/>
      <w:marLeft w:val="0"/>
      <w:marRight w:val="0"/>
      <w:marTop w:val="0"/>
      <w:marBottom w:val="0"/>
      <w:divBdr>
        <w:top w:val="none" w:sz="0" w:space="0" w:color="auto"/>
        <w:left w:val="none" w:sz="0" w:space="0" w:color="auto"/>
        <w:bottom w:val="none" w:sz="0" w:space="0" w:color="auto"/>
        <w:right w:val="none" w:sz="0" w:space="0" w:color="auto"/>
      </w:divBdr>
    </w:div>
    <w:div w:id="718866804">
      <w:bodyDiv w:val="1"/>
      <w:marLeft w:val="0"/>
      <w:marRight w:val="0"/>
      <w:marTop w:val="0"/>
      <w:marBottom w:val="0"/>
      <w:divBdr>
        <w:top w:val="none" w:sz="0" w:space="0" w:color="auto"/>
        <w:left w:val="none" w:sz="0" w:space="0" w:color="auto"/>
        <w:bottom w:val="none" w:sz="0" w:space="0" w:color="auto"/>
        <w:right w:val="none" w:sz="0" w:space="0" w:color="auto"/>
      </w:divBdr>
    </w:div>
    <w:div w:id="731733113">
      <w:bodyDiv w:val="1"/>
      <w:marLeft w:val="0"/>
      <w:marRight w:val="0"/>
      <w:marTop w:val="0"/>
      <w:marBottom w:val="0"/>
      <w:divBdr>
        <w:top w:val="none" w:sz="0" w:space="0" w:color="auto"/>
        <w:left w:val="none" w:sz="0" w:space="0" w:color="auto"/>
        <w:bottom w:val="none" w:sz="0" w:space="0" w:color="auto"/>
        <w:right w:val="none" w:sz="0" w:space="0" w:color="auto"/>
      </w:divBdr>
    </w:div>
    <w:div w:id="1106577573">
      <w:bodyDiv w:val="1"/>
      <w:marLeft w:val="0"/>
      <w:marRight w:val="0"/>
      <w:marTop w:val="0"/>
      <w:marBottom w:val="0"/>
      <w:divBdr>
        <w:top w:val="none" w:sz="0" w:space="0" w:color="auto"/>
        <w:left w:val="none" w:sz="0" w:space="0" w:color="auto"/>
        <w:bottom w:val="none" w:sz="0" w:space="0" w:color="auto"/>
        <w:right w:val="none" w:sz="0" w:space="0" w:color="auto"/>
      </w:divBdr>
    </w:div>
    <w:div w:id="1374498542">
      <w:bodyDiv w:val="1"/>
      <w:marLeft w:val="0"/>
      <w:marRight w:val="0"/>
      <w:marTop w:val="0"/>
      <w:marBottom w:val="0"/>
      <w:divBdr>
        <w:top w:val="none" w:sz="0" w:space="0" w:color="auto"/>
        <w:left w:val="none" w:sz="0" w:space="0" w:color="auto"/>
        <w:bottom w:val="none" w:sz="0" w:space="0" w:color="auto"/>
        <w:right w:val="none" w:sz="0" w:space="0" w:color="auto"/>
      </w:divBdr>
    </w:div>
    <w:div w:id="1417283813">
      <w:bodyDiv w:val="1"/>
      <w:marLeft w:val="0"/>
      <w:marRight w:val="0"/>
      <w:marTop w:val="0"/>
      <w:marBottom w:val="0"/>
      <w:divBdr>
        <w:top w:val="none" w:sz="0" w:space="0" w:color="auto"/>
        <w:left w:val="none" w:sz="0" w:space="0" w:color="auto"/>
        <w:bottom w:val="none" w:sz="0" w:space="0" w:color="auto"/>
        <w:right w:val="none" w:sz="0" w:space="0" w:color="auto"/>
      </w:divBdr>
    </w:div>
    <w:div w:id="1460949464">
      <w:bodyDiv w:val="1"/>
      <w:marLeft w:val="0"/>
      <w:marRight w:val="0"/>
      <w:marTop w:val="0"/>
      <w:marBottom w:val="0"/>
      <w:divBdr>
        <w:top w:val="none" w:sz="0" w:space="0" w:color="auto"/>
        <w:left w:val="none" w:sz="0" w:space="0" w:color="auto"/>
        <w:bottom w:val="none" w:sz="0" w:space="0" w:color="auto"/>
        <w:right w:val="none" w:sz="0" w:space="0" w:color="auto"/>
      </w:divBdr>
      <w:divsChild>
        <w:div w:id="1130443555">
          <w:marLeft w:val="0"/>
          <w:marRight w:val="0"/>
          <w:marTop w:val="0"/>
          <w:marBottom w:val="0"/>
          <w:divBdr>
            <w:top w:val="none" w:sz="0" w:space="0" w:color="auto"/>
            <w:left w:val="none" w:sz="0" w:space="0" w:color="auto"/>
            <w:bottom w:val="none" w:sz="0" w:space="0" w:color="auto"/>
            <w:right w:val="none" w:sz="0" w:space="0" w:color="auto"/>
          </w:divBdr>
        </w:div>
      </w:divsChild>
    </w:div>
    <w:div w:id="1476333911">
      <w:bodyDiv w:val="1"/>
      <w:marLeft w:val="0"/>
      <w:marRight w:val="0"/>
      <w:marTop w:val="0"/>
      <w:marBottom w:val="0"/>
      <w:divBdr>
        <w:top w:val="none" w:sz="0" w:space="0" w:color="auto"/>
        <w:left w:val="none" w:sz="0" w:space="0" w:color="auto"/>
        <w:bottom w:val="none" w:sz="0" w:space="0" w:color="auto"/>
        <w:right w:val="none" w:sz="0" w:space="0" w:color="auto"/>
      </w:divBdr>
    </w:div>
    <w:div w:id="1633317425">
      <w:bodyDiv w:val="1"/>
      <w:marLeft w:val="0"/>
      <w:marRight w:val="0"/>
      <w:marTop w:val="0"/>
      <w:marBottom w:val="0"/>
      <w:divBdr>
        <w:top w:val="none" w:sz="0" w:space="0" w:color="auto"/>
        <w:left w:val="none" w:sz="0" w:space="0" w:color="auto"/>
        <w:bottom w:val="none" w:sz="0" w:space="0" w:color="auto"/>
        <w:right w:val="none" w:sz="0" w:space="0" w:color="auto"/>
      </w:divBdr>
      <w:divsChild>
        <w:div w:id="1538659921">
          <w:marLeft w:val="0"/>
          <w:marRight w:val="0"/>
          <w:marTop w:val="83"/>
          <w:marBottom w:val="0"/>
          <w:divBdr>
            <w:top w:val="none" w:sz="0" w:space="0" w:color="auto"/>
            <w:left w:val="none" w:sz="0" w:space="0" w:color="auto"/>
            <w:bottom w:val="none" w:sz="0" w:space="0" w:color="auto"/>
            <w:right w:val="none" w:sz="0" w:space="0" w:color="auto"/>
          </w:divBdr>
        </w:div>
        <w:div w:id="794519907">
          <w:marLeft w:val="0"/>
          <w:marRight w:val="0"/>
          <w:marTop w:val="83"/>
          <w:marBottom w:val="0"/>
          <w:divBdr>
            <w:top w:val="none" w:sz="0" w:space="0" w:color="auto"/>
            <w:left w:val="none" w:sz="0" w:space="0" w:color="auto"/>
            <w:bottom w:val="none" w:sz="0" w:space="0" w:color="auto"/>
            <w:right w:val="none" w:sz="0" w:space="0" w:color="auto"/>
          </w:divBdr>
        </w:div>
        <w:div w:id="539166480">
          <w:marLeft w:val="0"/>
          <w:marRight w:val="0"/>
          <w:marTop w:val="83"/>
          <w:marBottom w:val="0"/>
          <w:divBdr>
            <w:top w:val="none" w:sz="0" w:space="0" w:color="auto"/>
            <w:left w:val="none" w:sz="0" w:space="0" w:color="auto"/>
            <w:bottom w:val="none" w:sz="0" w:space="0" w:color="auto"/>
            <w:right w:val="none" w:sz="0" w:space="0" w:color="auto"/>
          </w:divBdr>
        </w:div>
        <w:div w:id="93329331">
          <w:marLeft w:val="0"/>
          <w:marRight w:val="0"/>
          <w:marTop w:val="83"/>
          <w:marBottom w:val="0"/>
          <w:divBdr>
            <w:top w:val="none" w:sz="0" w:space="0" w:color="auto"/>
            <w:left w:val="none" w:sz="0" w:space="0" w:color="auto"/>
            <w:bottom w:val="none" w:sz="0" w:space="0" w:color="auto"/>
            <w:right w:val="none" w:sz="0" w:space="0" w:color="auto"/>
          </w:divBdr>
        </w:div>
        <w:div w:id="723062976">
          <w:marLeft w:val="0"/>
          <w:marRight w:val="0"/>
          <w:marTop w:val="83"/>
          <w:marBottom w:val="0"/>
          <w:divBdr>
            <w:top w:val="none" w:sz="0" w:space="0" w:color="auto"/>
            <w:left w:val="none" w:sz="0" w:space="0" w:color="auto"/>
            <w:bottom w:val="none" w:sz="0" w:space="0" w:color="auto"/>
            <w:right w:val="none" w:sz="0" w:space="0" w:color="auto"/>
          </w:divBdr>
        </w:div>
        <w:div w:id="779686812">
          <w:marLeft w:val="0"/>
          <w:marRight w:val="0"/>
          <w:marTop w:val="83"/>
          <w:marBottom w:val="0"/>
          <w:divBdr>
            <w:top w:val="none" w:sz="0" w:space="0" w:color="auto"/>
            <w:left w:val="none" w:sz="0" w:space="0" w:color="auto"/>
            <w:bottom w:val="none" w:sz="0" w:space="0" w:color="auto"/>
            <w:right w:val="none" w:sz="0" w:space="0" w:color="auto"/>
          </w:divBdr>
        </w:div>
      </w:divsChild>
    </w:div>
    <w:div w:id="1934849932">
      <w:bodyDiv w:val="1"/>
      <w:marLeft w:val="0"/>
      <w:marRight w:val="0"/>
      <w:marTop w:val="0"/>
      <w:marBottom w:val="0"/>
      <w:divBdr>
        <w:top w:val="none" w:sz="0" w:space="0" w:color="auto"/>
        <w:left w:val="none" w:sz="0" w:space="0" w:color="auto"/>
        <w:bottom w:val="none" w:sz="0" w:space="0" w:color="auto"/>
        <w:right w:val="none" w:sz="0" w:space="0" w:color="auto"/>
      </w:divBdr>
    </w:div>
    <w:div w:id="1995836248">
      <w:bodyDiv w:val="1"/>
      <w:marLeft w:val="0"/>
      <w:marRight w:val="0"/>
      <w:marTop w:val="0"/>
      <w:marBottom w:val="0"/>
      <w:divBdr>
        <w:top w:val="none" w:sz="0" w:space="0" w:color="auto"/>
        <w:left w:val="none" w:sz="0" w:space="0" w:color="auto"/>
        <w:bottom w:val="none" w:sz="0" w:space="0" w:color="auto"/>
        <w:right w:val="none" w:sz="0" w:space="0" w:color="auto"/>
      </w:divBdr>
      <w:divsChild>
        <w:div w:id="1640719367">
          <w:marLeft w:val="0"/>
          <w:marRight w:val="0"/>
          <w:marTop w:val="83"/>
          <w:marBottom w:val="0"/>
          <w:divBdr>
            <w:top w:val="none" w:sz="0" w:space="0" w:color="auto"/>
            <w:left w:val="none" w:sz="0" w:space="0" w:color="auto"/>
            <w:bottom w:val="none" w:sz="0" w:space="0" w:color="auto"/>
            <w:right w:val="none" w:sz="0" w:space="0" w:color="auto"/>
          </w:divBdr>
        </w:div>
        <w:div w:id="2039042573">
          <w:marLeft w:val="0"/>
          <w:marRight w:val="0"/>
          <w:marTop w:val="83"/>
          <w:marBottom w:val="0"/>
          <w:divBdr>
            <w:top w:val="none" w:sz="0" w:space="0" w:color="auto"/>
            <w:left w:val="none" w:sz="0" w:space="0" w:color="auto"/>
            <w:bottom w:val="none" w:sz="0" w:space="0" w:color="auto"/>
            <w:right w:val="none" w:sz="0" w:space="0" w:color="auto"/>
          </w:divBdr>
        </w:div>
        <w:div w:id="1612517384">
          <w:marLeft w:val="0"/>
          <w:marRight w:val="0"/>
          <w:marTop w:val="83"/>
          <w:marBottom w:val="0"/>
          <w:divBdr>
            <w:top w:val="none" w:sz="0" w:space="0" w:color="auto"/>
            <w:left w:val="none" w:sz="0" w:space="0" w:color="auto"/>
            <w:bottom w:val="none" w:sz="0" w:space="0" w:color="auto"/>
            <w:right w:val="none" w:sz="0" w:space="0" w:color="auto"/>
          </w:divBdr>
        </w:div>
        <w:div w:id="2098751032">
          <w:marLeft w:val="0"/>
          <w:marRight w:val="0"/>
          <w:marTop w:val="83"/>
          <w:marBottom w:val="0"/>
          <w:divBdr>
            <w:top w:val="none" w:sz="0" w:space="0" w:color="auto"/>
            <w:left w:val="none" w:sz="0" w:space="0" w:color="auto"/>
            <w:bottom w:val="none" w:sz="0" w:space="0" w:color="auto"/>
            <w:right w:val="none" w:sz="0" w:space="0" w:color="auto"/>
          </w:divBdr>
        </w:div>
        <w:div w:id="293557882">
          <w:marLeft w:val="0"/>
          <w:marRight w:val="0"/>
          <w:marTop w:val="83"/>
          <w:marBottom w:val="0"/>
          <w:divBdr>
            <w:top w:val="none" w:sz="0" w:space="0" w:color="auto"/>
            <w:left w:val="none" w:sz="0" w:space="0" w:color="auto"/>
            <w:bottom w:val="none" w:sz="0" w:space="0" w:color="auto"/>
            <w:right w:val="none" w:sz="0" w:space="0" w:color="auto"/>
          </w:divBdr>
        </w:div>
        <w:div w:id="904027923">
          <w:marLeft w:val="0"/>
          <w:marRight w:val="0"/>
          <w:marTop w:val="83"/>
          <w:marBottom w:val="0"/>
          <w:divBdr>
            <w:top w:val="none" w:sz="0" w:space="0" w:color="auto"/>
            <w:left w:val="none" w:sz="0" w:space="0" w:color="auto"/>
            <w:bottom w:val="none" w:sz="0" w:space="0" w:color="auto"/>
            <w:right w:val="none" w:sz="0" w:space="0" w:color="auto"/>
          </w:divBdr>
        </w:div>
      </w:divsChild>
    </w:div>
    <w:div w:id="1999772802">
      <w:bodyDiv w:val="1"/>
      <w:marLeft w:val="0"/>
      <w:marRight w:val="0"/>
      <w:marTop w:val="0"/>
      <w:marBottom w:val="0"/>
      <w:divBdr>
        <w:top w:val="none" w:sz="0" w:space="0" w:color="auto"/>
        <w:left w:val="none" w:sz="0" w:space="0" w:color="auto"/>
        <w:bottom w:val="none" w:sz="0" w:space="0" w:color="auto"/>
        <w:right w:val="none" w:sz="0" w:space="0" w:color="auto"/>
      </w:divBdr>
    </w:div>
    <w:div w:id="2099404561">
      <w:bodyDiv w:val="1"/>
      <w:marLeft w:val="0"/>
      <w:marRight w:val="0"/>
      <w:marTop w:val="0"/>
      <w:marBottom w:val="0"/>
      <w:divBdr>
        <w:top w:val="none" w:sz="0" w:space="0" w:color="auto"/>
        <w:left w:val="none" w:sz="0" w:space="0" w:color="auto"/>
        <w:bottom w:val="none" w:sz="0" w:space="0" w:color="auto"/>
        <w:right w:val="none" w:sz="0" w:space="0" w:color="auto"/>
      </w:divBdr>
      <w:divsChild>
        <w:div w:id="254215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bd0a3eea-7a10-4d70-8902-9d42ea95b394">
      <Value>1</Value>
    </TaxCatchAll>
    <j9fbb06dcf37489c91e482368c48b349 xmlns="bd0a3eea-7a10-4d70-8902-9d42ea95b39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j9fbb06dcf37489c91e482368c48b349>
    <TaxKeywordTaxHTField xmlns="bd0a3eea-7a10-4d70-8902-9d42ea95b394">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59CBF0EEDBCBF3448F6E8D35D9408173" ma:contentTypeVersion="3" ma:contentTypeDescription="Create a new Word Document" ma:contentTypeScope="" ma:versionID="370f179e6d2729dfc3f437c76883f95a">
  <xsd:schema xmlns:xsd="http://www.w3.org/2001/XMLSchema" xmlns:xs="http://www.w3.org/2001/XMLSchema" xmlns:p="http://schemas.microsoft.com/office/2006/metadata/properties" xmlns:ns3="01be4277-2979-4a68-876d-b92b25fceece" xmlns:ns4="bd0a3eea-7a10-4d70-8902-9d42ea95b394" xmlns:ns5="9d4a210e-91c1-46f9-ade7-fe48a12948bf" targetNamespace="http://schemas.microsoft.com/office/2006/metadata/properties" ma:root="true" ma:fieldsID="cfa96c5b8137a43eb68b43f70a55487d" ns3:_="" ns4:_="" ns5:_="">
    <xsd:import namespace="01be4277-2979-4a68-876d-b92b25fceece"/>
    <xsd:import namespace="bd0a3eea-7a10-4d70-8902-9d42ea95b394"/>
    <xsd:import namespace="9d4a210e-91c1-46f9-ade7-fe48a12948b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j9fbb06dcf37489c91e482368c48b349"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3bfd400a-bb0f-42a8-a885-98b592a0f767" ma:termSetId="caea11ae-e762-4d12-9b8c-b4766b11228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0a3eea-7a10-4d70-8902-9d42ea95b39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c88d7c50-832d-4a51-940f-8e4a8152c53f}" ma:internalName="TaxCatchAll" ma:showField="CatchAllData" ma:web="bd0a3eea-7a10-4d70-8902-9d42ea95b39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88d7c50-832d-4a51-940f-8e4a8152c53f}" ma:internalName="TaxCatchAllLabel" ma:readOnly="true" ma:showField="CatchAllDataLabel" ma:web="bd0a3eea-7a10-4d70-8902-9d42ea95b394">
      <xsd:complexType>
        <xsd:complexContent>
          <xsd:extension base="dms:MultiChoiceLookup">
            <xsd:sequence>
              <xsd:element name="Value" type="dms:Lookup" maxOccurs="unbounded" minOccurs="0" nillable="true"/>
            </xsd:sequence>
          </xsd:extension>
        </xsd:complexContent>
      </xsd:complexType>
    </xsd:element>
    <xsd:element name="j9fbb06dcf37489c91e482368c48b349" ma:index="14" nillable="true" ma:taxonomy="true" ma:internalName="j9fbb06dcf37489c91e482368c48b349" ma:taxonomyFieldName="MPISecurityClassification" ma:displayName="Security Classification" ma:default="1;#None|cf402fa0-b6a8-49a7-a22e-a95b6152c608" ma:fieldId="{39fbb06d-cf37-489c-91e4-82368c48b349}" ma:sspId="3bfd400a-bb0f-42a8-a885-98b592a0f767" ma:termSetId="0585e480-f249-45e9-9d9a-827200d7ed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4a210e-91c1-46f9-ade7-fe48a12948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D4BD2-56BF-4235-B6D1-3CA39AD9D024}">
  <ds:schemaRefs>
    <ds:schemaRef ds:uri="http://schemas.microsoft.com/sharepoint/v3/contenttype/forms"/>
  </ds:schemaRefs>
</ds:datastoreItem>
</file>

<file path=customXml/itemProps2.xml><?xml version="1.0" encoding="utf-8"?>
<ds:datastoreItem xmlns:ds="http://schemas.openxmlformats.org/officeDocument/2006/customXml" ds:itemID="{2E8B0ADA-D64C-47AD-99D1-4B4D3A6673C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9d4a210e-91c1-46f9-ade7-fe48a12948bf"/>
    <ds:schemaRef ds:uri="bd0a3eea-7a10-4d70-8902-9d42ea95b394"/>
    <ds:schemaRef ds:uri="01be4277-2979-4a68-876d-b92b25fceece"/>
    <ds:schemaRef ds:uri="http://www.w3.org/XML/1998/namespace"/>
  </ds:schemaRefs>
</ds:datastoreItem>
</file>

<file path=customXml/itemProps3.xml><?xml version="1.0" encoding="utf-8"?>
<ds:datastoreItem xmlns:ds="http://schemas.openxmlformats.org/officeDocument/2006/customXml" ds:itemID="{6CA9C4A6-9510-4AD3-843E-2A5777D890D3}">
  <ds:schemaRefs>
    <ds:schemaRef ds:uri="http://schemas.openxmlformats.org/officeDocument/2006/bibliography"/>
  </ds:schemaRefs>
</ds:datastoreItem>
</file>

<file path=customXml/itemProps4.xml><?xml version="1.0" encoding="utf-8"?>
<ds:datastoreItem xmlns:ds="http://schemas.openxmlformats.org/officeDocument/2006/customXml" ds:itemID="{57066EEC-67AF-49EF-A34E-CEC6FC075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bd0a3eea-7a10-4d70-8902-9d42ea95b394"/>
    <ds:schemaRef ds:uri="9d4a210e-91c1-46f9-ade7-fe48a1294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2276</Words>
  <Characters>12977</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Ministry for Primary Industries</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Braden Lister</dc:creator>
  <cp:keywords/>
  <dc:description/>
  <cp:lastModifiedBy>Anita McGhie-Filkins</cp:lastModifiedBy>
  <cp:revision>2</cp:revision>
  <cp:lastPrinted>2025-04-23T20:14:00Z</cp:lastPrinted>
  <dcterms:created xsi:type="dcterms:W3CDTF">2025-06-29T20:54:00Z</dcterms:created>
  <dcterms:modified xsi:type="dcterms:W3CDTF">2025-06-29T20:54:00Z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0x0101005496552013C0BA46BE88192D5C6EB20B00BC7B51C3C3DA487E91D1E0ED95F8C85C0059CBF0EEDBCBF3448F6E8D35D9408173</vt:lpwstr>
  </property>
  <property fmtid="{D5CDD505-2E9C-101B-9397-08002B2CF9AE}" pid="3" name="TaxKeyword">
    <vt:lpwstr/>
  </property>
  <property fmtid="{D5CDD505-2E9C-101B-9397-08002B2CF9AE}" pid="4" name="MPISecurityClassification">
    <vt:lpwstr>1;#None|cf402fa0-b6a8-49a7-a22e-a95b6152c608</vt:lpwstr>
  </property>
  <property fmtid="{D5CDD505-2E9C-101B-9397-08002B2CF9AE}" pid="5" name="C3Topic">
    <vt:lpwstr/>
  </property>
</Properties>
</file>